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21" w:lineRule="auto"/>
        <w:rPr>
          <w:rFonts w:hint="eastAsia" w:ascii="黑体" w:hAnsi="黑体" w:eastAsia="黑体" w:cs="黑体"/>
          <w:b w:val="0"/>
          <w:bCs w:val="0"/>
          <w:spacing w:val="-4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6"/>
          <w:szCs w:val="36"/>
        </w:rPr>
        <w:t>附件1:</w:t>
      </w:r>
    </w:p>
    <w:p>
      <w:pPr>
        <w:widowControl w:val="0"/>
        <w:numPr>
          <w:ilvl w:val="0"/>
          <w:numId w:val="0"/>
        </w:numPr>
        <w:tabs>
          <w:tab w:val="left" w:pos="4123"/>
          <w:tab w:val="center" w:pos="7042"/>
        </w:tabs>
        <w:spacing w:beforeLines="50" w:afterLines="50" w:line="360" w:lineRule="auto"/>
        <w:jc w:val="center"/>
        <w:outlineLvl w:val="0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三亚市2024年度商务流通领域（商超）信用评价表</w:t>
      </w:r>
    </w:p>
    <w:bookmarkEnd w:id="0"/>
    <w:p>
      <w:pPr>
        <w:widowControl w:val="0"/>
        <w:numPr>
          <w:ilvl w:val="0"/>
          <w:numId w:val="0"/>
        </w:numPr>
        <w:tabs>
          <w:tab w:val="center" w:pos="7042"/>
          <w:tab w:val="left" w:pos="9937"/>
        </w:tabs>
        <w:spacing w:beforeLines="50" w:afterLines="50" w:line="360" w:lineRule="auto"/>
        <w:jc w:val="left"/>
        <w:outlineLvl w:val="9"/>
        <w:rPr>
          <w:rFonts w:hint="eastAsia" w:ascii="宋体" w:hAnsi="宋体" w:eastAsia="宋体" w:cs="宋体"/>
          <w:b/>
          <w:bCs w:val="0"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/>
          <w:color w:val="auto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 w:val="0"/>
          <w:i w:val="0"/>
          <w:iCs/>
          <w:color w:val="auto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b/>
          <w:bCs w:val="0"/>
          <w:i w:val="0"/>
          <w:iCs/>
          <w:color w:val="auto"/>
          <w:sz w:val="32"/>
          <w:szCs w:val="32"/>
          <w:lang w:eastAsia="zh-CN"/>
        </w:rPr>
        <w:t>总分：</w:t>
      </w:r>
      <w:r>
        <w:rPr>
          <w:rFonts w:hint="eastAsia" w:ascii="宋体" w:hAnsi="宋体" w:eastAsia="宋体" w:cs="宋体"/>
          <w:b/>
          <w:bCs w:val="0"/>
          <w:i w:val="0"/>
          <w:iCs/>
          <w:color w:val="auto"/>
          <w:sz w:val="32"/>
          <w:szCs w:val="32"/>
          <w:lang w:val="en-US" w:eastAsia="zh-CN"/>
        </w:rPr>
        <w:t xml:space="preserve">  等级：（   ）</w:t>
      </w:r>
    </w:p>
    <w:tbl>
      <w:tblPr>
        <w:tblStyle w:val="7"/>
        <w:tblW w:w="14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02"/>
        <w:gridCol w:w="1983"/>
        <w:gridCol w:w="7227"/>
        <w:gridCol w:w="133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评价内容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评价要点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判定方式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扣分情况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  <w:t>行 政 管 理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亮证经营（8分）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（1）未按照规定公示《营业执照》，扣2分；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（2）未按照规定公示《食品经营许可证》，扣2分；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（3）未按规定公示《烟草专卖零售许可证》，扣2分；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（4）售卖烟酒处未悬挂“禁止向未成年售卖”标识，扣2分。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管理制度（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（1）未按照规定制定卫生管理制度，扣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（2）未按照规定制定门前三包制度，扣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（3）未按照规定制定食品安全管理制度，扣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食品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</w:rPr>
              <w:t>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抽查商品出现变质、过期情况，扣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）餐饮从业人员未取得健康证上岗，扣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2分； 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）未在店内开展制止餐饮浪费行为的宣传，扣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未对商品实行明码标价，发现一处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分（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最多扣6分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相关人员</w:t>
            </w:r>
            <w:r>
              <w:rPr>
                <w:rFonts w:hint="eastAsia" w:ascii="宋体" w:hAnsi="宋体" w:eastAsia="宋体" w:cs="宋体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</w:rPr>
              <w:t>参加组织的食品安全、卫生管理等相关培训</w:t>
            </w:r>
            <w:r>
              <w:rPr>
                <w:rFonts w:hint="eastAsia" w:ascii="宋体" w:hAnsi="宋体" w:eastAsia="宋体" w:cs="宋体"/>
                <w:lang w:eastAsia="zh-CN"/>
              </w:rPr>
              <w:t>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both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both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不良信息（20分）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（1）评价年度内受到行政处罚的，每次扣5分（最多扣10分），受到三次及以上的，或符合第六条情形的直接评为D级；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（2）未设专门投诉接待部门或人员，没有投诉完结记录，扣5分；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（3）评价年度内被列为失信被执行人，扣5分，并取消评A级资格。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384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 w:firstLine="2529" w:firstLineChars="700"/>
              <w:jc w:val="both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卫 生 管 理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both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公共卫生（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（1）商场区内有卫生死角、地面不干净，有槟榔汁、果皮纸等，每发现一处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扣1分（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最多扣4分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（2）未配备保洁人员，扣2分；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乱粘贴垃圾广告，乱悬乱挂，扣2分；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</w:rPr>
              <w:t>配备专门环境卫生管理人员负责商场公共设施环境卫生的管理工作</w:t>
            </w:r>
            <w:r>
              <w:rPr>
                <w:rFonts w:hint="eastAsia" w:ascii="宋体" w:hAnsi="宋体" w:eastAsia="宋体" w:cs="宋体"/>
                <w:lang w:eastAsia="zh-CN"/>
              </w:rPr>
              <w:t>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未规范设置可回收物、有害垃圾、厨余垃圾、其他垃圾4种垃圾桶，扣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未按规定提供或销售不可降解购物袋的，扣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未在显著位置设置禁塑标识、标语，扣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顾客直接接触设施设备和公共空间未定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期消毒并做消毒记录，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扣2分。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销售区域（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4分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（1）生鲜区域未按生鲜农产品大类和不同类别生鲜农产品的保鲜、保质要求进行分区并明确标识，扣2分；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（2）蔬菜、水果、畜禽肉、水产品、鲜蛋等未分区，扣2分。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库房管理（4分）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库存商品</w:t>
            </w:r>
            <w:r>
              <w:rPr>
                <w:rFonts w:hint="eastAsia" w:ascii="宋体" w:hAnsi="宋体" w:eastAsia="宋体" w:cs="宋体"/>
                <w:lang w:eastAsia="zh-CN"/>
              </w:rPr>
              <w:t>未</w:t>
            </w:r>
            <w:r>
              <w:rPr>
                <w:rFonts w:hint="eastAsia" w:ascii="宋体" w:hAnsi="宋体" w:eastAsia="宋体" w:cs="宋体"/>
              </w:rPr>
              <w:t>隔墙离地，按先进先出、生熟分开原则存放</w:t>
            </w:r>
            <w:r>
              <w:rPr>
                <w:rFonts w:hint="eastAsia" w:ascii="宋体" w:hAnsi="宋体" w:eastAsia="宋体" w:cs="宋体"/>
                <w:lang w:eastAsia="zh-CN"/>
              </w:rPr>
              <w:t>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）库房区域内脏乱差，扣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 xml:space="preserve">   安 全 管 理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基础设施（8分）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（1）未设置导向标识、安全标识、提示标识，扣2分；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（2）电梯客用直梯与货用直梯未分开设置，扣2分；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（3）电梯轿厢内未明示安全信息，扣2分；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（4）未设置一般照明、疏散照明、应急照明，扣2分。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生产安全（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（1）未制定完备的安全应急预案，扣2分；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商场超市安全出口的疏散门存在占用、堵塞或者封闭安全出口，扣2分。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消防安全（1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分）</w:t>
            </w: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消防控制室人员未持证上岗，扣2分；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both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right="105" w:rightChars="50"/>
              <w:jc w:val="both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（2）消防控制室未设专人值班，扣2分；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）消防设施、器材未完好有效，扣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）未按规定开展消防安全知识培训，扣2分；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未定期开展消防安全演练，扣2分；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）未按规定制定消防安全管理制度，扣2分；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未定期检查并维护消</w:t>
            </w:r>
            <w:r>
              <w:rPr>
                <w:rFonts w:hint="eastAsia" w:ascii="宋体" w:hAnsi="宋体" w:eastAsia="宋体" w:cs="宋体"/>
              </w:rPr>
              <w:t>防设施、器材，扣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auto"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1.评分标准：信用评价实行评分制，评价等级分为A级（优秀）、B级（良好）、C级（合格）、D级（不合格）四个等级。考核评价分值90分以上为A级（优秀），80分-89分为B级（良好）、60分-79分为C级（合格）、59分以下为D级（不合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5015865</wp:posOffset>
                </wp:positionV>
                <wp:extent cx="890016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01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394.95pt;height:0.05pt;width:700.8pt;z-index:251664384;mso-width-relative:page;mso-height-relative:page;" filled="f" stroked="t" coordsize="21600,21600" o:gfxdata="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abXeHNkAAAALAQAADwAAAAAAAAABACAAAAA4AAAAZHJzL2Rvd25yZXYu&#10;eG1sUEsBAhQAFAAAAAgAh07iQEhSm1/kAQAAqwMAAA4AAAAAAAAAAQAgAAAAPgEAAGRycy9lMm9E&#10;b2MueG1sUEsFBgAAAAAGAAYAWQEAAJQ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2.合理缺项：如法律法规或行政管理上未要求参评单位开展的评价项目，经核实该项目可不做评价。</w:t>
      </w:r>
    </w:p>
    <w:p/>
    <w:p>
      <w:pPr>
        <w:spacing w:before="73" w:line="224" w:lineRule="auto"/>
        <w:rPr>
          <w:rFonts w:hint="eastAsia" w:ascii="黑体" w:hAnsi="黑体" w:eastAsia="黑体" w:cs="黑体"/>
          <w:b/>
          <w:bCs/>
          <w:spacing w:val="-4"/>
          <w:sz w:val="36"/>
          <w:szCs w:val="36"/>
          <w:lang w:val="en-US" w:eastAsia="zh-CN"/>
        </w:rPr>
      </w:pPr>
    </w:p>
    <w:p>
      <w:pPr>
        <w:spacing w:before="73" w:line="224" w:lineRule="auto"/>
        <w:rPr>
          <w:rFonts w:hint="eastAsia" w:ascii="黑体" w:hAnsi="黑体" w:eastAsia="黑体" w:cs="黑体"/>
          <w:b/>
          <w:bCs/>
          <w:spacing w:val="-4"/>
          <w:sz w:val="36"/>
          <w:szCs w:val="36"/>
          <w:lang w:val="en-US" w:eastAsia="zh-CN"/>
        </w:rPr>
      </w:pPr>
    </w:p>
    <w:p>
      <w:pPr>
        <w:spacing w:before="73" w:line="224" w:lineRule="auto"/>
        <w:rPr>
          <w:rFonts w:hint="eastAsia" w:ascii="黑体" w:hAnsi="黑体" w:eastAsia="黑体" w:cs="黑体"/>
          <w:b/>
          <w:bCs/>
          <w:spacing w:val="-4"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5"/>
      <w:rPr>
        <w:rFonts w:ascii="宋体" w:hAnsi="宋体" w:eastAsia="宋体" w:cs="宋体"/>
        <w:sz w:val="29"/>
        <w:szCs w:val="2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686FA"/>
    <w:multiLevelType w:val="singleLevel"/>
    <w:tmpl w:val="B66686FA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41E4"/>
    <w:rsid w:val="447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2024-06-18T15:26:00Z</dcterms:created>
  <dc:creator>user</dc:creator>
  <cp:lastModifiedBy>user</cp:lastModifiedBy>
  <dcterms:modified xsi:type="dcterms:W3CDTF">2024-06-18T15:26:31Z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