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5" w:line="221" w:lineRule="auto"/>
        <w:rPr>
          <w:rFonts w:hint="eastAsia" w:ascii="黑体" w:hAnsi="黑体" w:eastAsia="黑体" w:cs="黑体"/>
          <w:b w:val="0"/>
          <w:bCs w:val="0"/>
          <w:spacing w:val="-4"/>
          <w:sz w:val="36"/>
          <w:szCs w:val="36"/>
        </w:rPr>
      </w:pPr>
      <w:r>
        <w:rPr>
          <w:rFonts w:hint="eastAsia" w:ascii="黑体" w:hAnsi="黑体" w:eastAsia="黑体" w:cs="黑体"/>
          <w:b w:val="0"/>
          <w:bCs w:val="0"/>
          <w:spacing w:val="-4"/>
          <w:sz w:val="36"/>
          <w:szCs w:val="36"/>
        </w:rPr>
        <w:t>附件</w:t>
      </w:r>
      <w:r>
        <w:rPr>
          <w:rFonts w:hint="eastAsia" w:ascii="黑体" w:hAnsi="黑体" w:eastAsia="黑体" w:cs="黑体"/>
          <w:b w:val="0"/>
          <w:bCs w:val="0"/>
          <w:spacing w:val="-4"/>
          <w:sz w:val="36"/>
          <w:szCs w:val="36"/>
          <w:lang w:val="en-US" w:eastAsia="zh-CN"/>
        </w:rPr>
        <w:t>1</w:t>
      </w:r>
      <w:r>
        <w:rPr>
          <w:rFonts w:hint="eastAsia" w:ascii="黑体" w:hAnsi="黑体" w:eastAsia="黑体" w:cs="黑体"/>
          <w:b w:val="0"/>
          <w:bCs w:val="0"/>
          <w:spacing w:val="-4"/>
          <w:sz w:val="36"/>
          <w:szCs w:val="36"/>
        </w:rPr>
        <w:t>:</w:t>
      </w:r>
    </w:p>
    <w:p>
      <w:pPr>
        <w:widowControl w:val="0"/>
        <w:numPr>
          <w:ilvl w:val="0"/>
          <w:numId w:val="0"/>
        </w:numPr>
        <w:tabs>
          <w:tab w:val="left" w:pos="4123"/>
          <w:tab w:val="center" w:pos="7042"/>
        </w:tabs>
        <w:spacing w:beforeLines="50" w:afterLines="50" w:line="360" w:lineRule="auto"/>
        <w:jc w:val="center"/>
        <w:outlineLvl w:val="0"/>
        <w:rPr>
          <w:rFonts w:hint="eastAsia" w:ascii="宋体" w:hAnsi="宋体" w:eastAsia="宋体" w:cs="宋体"/>
          <w:b/>
          <w:bCs w:val="0"/>
          <w:color w:val="auto"/>
          <w:sz w:val="44"/>
          <w:szCs w:val="44"/>
          <w:lang w:eastAsia="zh-CN"/>
        </w:rPr>
      </w:pPr>
      <w:bookmarkStart w:id="0" w:name="_GoBack"/>
      <w:r>
        <w:rPr>
          <w:rFonts w:hint="eastAsia" w:ascii="宋体" w:hAnsi="宋体" w:eastAsia="宋体" w:cs="宋体"/>
          <w:b/>
          <w:bCs w:val="0"/>
          <w:color w:val="auto"/>
          <w:sz w:val="44"/>
          <w:szCs w:val="44"/>
          <w:lang w:val="en-US" w:eastAsia="zh-CN"/>
        </w:rPr>
        <w:t>三亚市2024年度商务流通领域（</w:t>
      </w:r>
      <w:r>
        <w:rPr>
          <w:rFonts w:hint="eastAsia" w:ascii="宋体" w:hAnsi="宋体" w:cs="宋体"/>
          <w:b/>
          <w:bCs w:val="0"/>
          <w:color w:val="auto"/>
          <w:sz w:val="44"/>
          <w:szCs w:val="44"/>
          <w:lang w:eastAsia="zh-CN"/>
        </w:rPr>
        <w:t>汽车销售</w:t>
      </w:r>
      <w:r>
        <w:rPr>
          <w:rFonts w:hint="eastAsia" w:ascii="宋体" w:hAnsi="宋体" w:eastAsia="宋体" w:cs="宋体"/>
          <w:b/>
          <w:bCs w:val="0"/>
          <w:color w:val="auto"/>
          <w:sz w:val="44"/>
          <w:szCs w:val="44"/>
          <w:lang w:val="en-US" w:eastAsia="zh-CN"/>
        </w:rPr>
        <w:t>）信用评价表</w:t>
      </w:r>
      <w:bookmarkEnd w:id="0"/>
    </w:p>
    <w:p>
      <w:pPr>
        <w:widowControl w:val="0"/>
        <w:numPr>
          <w:ilvl w:val="0"/>
          <w:numId w:val="0"/>
        </w:numPr>
        <w:tabs>
          <w:tab w:val="center" w:pos="7042"/>
          <w:tab w:val="left" w:pos="9937"/>
        </w:tabs>
        <w:spacing w:beforeLines="50" w:afterLines="50" w:line="360" w:lineRule="auto"/>
        <w:jc w:val="left"/>
        <w:outlineLvl w:val="9"/>
        <w:rPr>
          <w:rFonts w:hint="eastAsia" w:ascii="宋体" w:hAnsi="宋体" w:eastAsia="宋体" w:cs="宋体"/>
          <w:b/>
          <w:bCs w:val="0"/>
          <w:i w:val="0"/>
          <w:iCs/>
          <w:color w:val="auto"/>
          <w:sz w:val="32"/>
          <w:szCs w:val="32"/>
          <w:lang w:val="en-US" w:eastAsia="zh-CN"/>
        </w:rPr>
      </w:pPr>
      <w:r>
        <w:rPr>
          <w:rFonts w:hint="eastAsia" w:ascii="宋体" w:hAnsi="宋体" w:eastAsia="宋体" w:cs="宋体"/>
          <w:b/>
          <w:bCs w:val="0"/>
          <w:i w:val="0"/>
          <w:iCs/>
          <w:color w:val="auto"/>
          <w:sz w:val="32"/>
          <w:szCs w:val="32"/>
          <w:lang w:eastAsia="zh-CN"/>
        </w:rPr>
        <w:t>名称：</w:t>
      </w:r>
      <w:r>
        <w:rPr>
          <w:rFonts w:hint="eastAsia" w:ascii="宋体" w:hAnsi="宋体" w:eastAsia="宋体" w:cs="宋体"/>
          <w:b/>
          <w:bCs w:val="0"/>
          <w:i w:val="0"/>
          <w:iCs/>
          <w:color w:val="auto"/>
          <w:sz w:val="32"/>
          <w:szCs w:val="32"/>
          <w:lang w:val="en-US" w:eastAsia="zh-CN"/>
        </w:rPr>
        <w:t xml:space="preserve">                                                     </w:t>
      </w:r>
      <w:r>
        <w:rPr>
          <w:rFonts w:hint="eastAsia" w:ascii="宋体" w:hAnsi="宋体" w:eastAsia="宋体" w:cs="宋体"/>
          <w:b/>
          <w:bCs w:val="0"/>
          <w:i w:val="0"/>
          <w:iCs/>
          <w:color w:val="auto"/>
          <w:sz w:val="32"/>
          <w:szCs w:val="32"/>
          <w:lang w:eastAsia="zh-CN"/>
        </w:rPr>
        <w:t>总分：</w:t>
      </w:r>
      <w:r>
        <w:rPr>
          <w:rFonts w:hint="eastAsia" w:ascii="宋体" w:hAnsi="宋体" w:eastAsia="宋体" w:cs="宋体"/>
          <w:b/>
          <w:bCs w:val="0"/>
          <w:i w:val="0"/>
          <w:iCs/>
          <w:color w:val="auto"/>
          <w:sz w:val="32"/>
          <w:szCs w:val="32"/>
          <w:lang w:val="en-US" w:eastAsia="zh-CN"/>
        </w:rPr>
        <w:t xml:space="preserve">  等级：（   ）</w:t>
      </w:r>
    </w:p>
    <w:tbl>
      <w:tblPr>
        <w:tblStyle w:val="6"/>
        <w:tblW w:w="14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02"/>
        <w:gridCol w:w="1983"/>
        <w:gridCol w:w="7255"/>
        <w:gridCol w:w="1311"/>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1384" w:type="dxa"/>
            <w:noWrap w:val="0"/>
            <w:vAlign w:val="center"/>
          </w:tcPr>
          <w:p>
            <w:pPr>
              <w:widowControl/>
              <w:spacing w:beforeLines="0" w:afterLines="0" w:line="240" w:lineRule="exact"/>
              <w:jc w:val="center"/>
              <w:textAlignment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评价内容</w:t>
            </w:r>
          </w:p>
        </w:tc>
        <w:tc>
          <w:tcPr>
            <w:tcW w:w="902" w:type="dxa"/>
            <w:noWrap w:val="0"/>
            <w:vAlign w:val="center"/>
          </w:tcPr>
          <w:p>
            <w:pPr>
              <w:widowControl/>
              <w:spacing w:beforeLines="0" w:afterLines="0" w:line="240" w:lineRule="exact"/>
              <w:jc w:val="center"/>
              <w:textAlignment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1983" w:type="dxa"/>
            <w:noWrap w:val="0"/>
            <w:vAlign w:val="center"/>
          </w:tcPr>
          <w:p>
            <w:pPr>
              <w:widowControl/>
              <w:spacing w:beforeLines="0" w:afterLines="0" w:line="240" w:lineRule="exact"/>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sz w:val="24"/>
                <w:szCs w:val="24"/>
              </w:rPr>
              <w:t>评价要点</w:t>
            </w:r>
          </w:p>
        </w:tc>
        <w:tc>
          <w:tcPr>
            <w:tcW w:w="7255" w:type="dxa"/>
            <w:noWrap w:val="0"/>
            <w:vAlign w:val="center"/>
          </w:tcPr>
          <w:p>
            <w:pPr>
              <w:widowControl/>
              <w:spacing w:beforeLines="0" w:afterLines="0" w:line="240" w:lineRule="exact"/>
              <w:jc w:val="center"/>
              <w:textAlignment w:val="center"/>
              <w:rPr>
                <w:rFonts w:hint="eastAsia" w:ascii="宋体" w:hAnsi="宋体" w:eastAsia="宋体" w:cs="宋体"/>
                <w:sz w:val="24"/>
                <w:szCs w:val="24"/>
                <w:shd w:val="clear" w:color="auto" w:fill="auto"/>
                <w:vertAlign w:val="baseline"/>
              </w:rPr>
            </w:pPr>
            <w:r>
              <w:rPr>
                <w:rFonts w:hint="eastAsia" w:ascii="宋体" w:hAnsi="宋体" w:eastAsia="宋体" w:cs="宋体"/>
                <w:b/>
                <w:color w:val="000000"/>
                <w:kern w:val="0"/>
                <w:sz w:val="24"/>
                <w:szCs w:val="24"/>
                <w:shd w:val="clear" w:color="auto" w:fill="auto"/>
                <w:lang w:bidi="ar"/>
              </w:rPr>
              <w:t>判定方式</w:t>
            </w:r>
          </w:p>
        </w:tc>
        <w:tc>
          <w:tcPr>
            <w:tcW w:w="1311" w:type="dxa"/>
            <w:noWrap w:val="0"/>
            <w:vAlign w:val="center"/>
          </w:tcPr>
          <w:p>
            <w:pPr>
              <w:widowControl/>
              <w:spacing w:beforeLines="0" w:afterLines="0" w:line="240" w:lineRule="exact"/>
              <w:jc w:val="center"/>
              <w:textAlignment w:val="center"/>
              <w:rPr>
                <w:rFonts w:hint="eastAsia" w:ascii="宋体" w:hAnsi="宋体" w:eastAsia="宋体" w:cs="宋体"/>
                <w:b/>
                <w:color w:val="000000"/>
                <w:kern w:val="0"/>
                <w:sz w:val="24"/>
                <w:szCs w:val="24"/>
                <w:shd w:val="clear" w:color="auto" w:fill="auto"/>
                <w:lang w:bidi="ar"/>
              </w:rPr>
            </w:pPr>
            <w:r>
              <w:rPr>
                <w:rFonts w:hint="eastAsia" w:ascii="宋体" w:hAnsi="宋体" w:eastAsia="宋体" w:cs="宋体"/>
                <w:b/>
                <w:color w:val="000000"/>
                <w:kern w:val="0"/>
                <w:sz w:val="24"/>
                <w:szCs w:val="24"/>
                <w:shd w:val="clear" w:color="auto" w:fill="auto"/>
                <w:lang w:bidi="ar"/>
              </w:rPr>
              <w:t>扣分情况</w:t>
            </w:r>
          </w:p>
        </w:tc>
        <w:tc>
          <w:tcPr>
            <w:tcW w:w="2048" w:type="dxa"/>
            <w:noWrap w:val="0"/>
            <w:vAlign w:val="center"/>
          </w:tcPr>
          <w:p>
            <w:pPr>
              <w:widowControl/>
              <w:spacing w:beforeLines="0" w:afterLines="0" w:line="240" w:lineRule="exact"/>
              <w:jc w:val="center"/>
              <w:textAlignment w:val="center"/>
              <w:rPr>
                <w:rFonts w:hint="eastAsia" w:ascii="宋体" w:hAnsi="宋体" w:eastAsia="宋体" w:cs="宋体"/>
                <w:b/>
                <w:color w:val="000000"/>
                <w:kern w:val="0"/>
                <w:sz w:val="24"/>
                <w:szCs w:val="24"/>
                <w:shd w:val="clear" w:color="auto" w:fill="auto"/>
                <w:lang w:bidi="ar"/>
              </w:rPr>
            </w:pPr>
            <w:r>
              <w:rPr>
                <w:rFonts w:hint="eastAsia" w:ascii="宋体" w:hAnsi="宋体" w:eastAsia="宋体" w:cs="宋体"/>
                <w:b/>
                <w:color w:val="000000"/>
                <w:kern w:val="0"/>
                <w:sz w:val="24"/>
                <w:szCs w:val="24"/>
                <w:shd w:val="clear" w:color="auto" w:fill="auto"/>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4" w:type="dxa"/>
            <w:vMerge w:val="restart"/>
            <w:noWrap w:val="0"/>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36"/>
                <w:szCs w:val="36"/>
                <w:u w:val="none"/>
                <w:lang w:val="en-US" w:eastAsia="zh-CN" w:bidi="ar-SA"/>
              </w:rPr>
              <w:t>诚 信 经 营</w:t>
            </w:r>
          </w:p>
        </w:tc>
        <w:tc>
          <w:tcPr>
            <w:tcW w:w="9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1</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2"/>
                <w:sz w:val="21"/>
                <w:szCs w:val="21"/>
                <w:u w:val="none"/>
                <w:lang w:val="en-US" w:eastAsia="zh-CN" w:bidi="ar-SA"/>
              </w:rPr>
              <w:t>亮证经营（3分）</w:t>
            </w: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在经营场所未按照规定公示《营业执照》，扣3分。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p>
        </w:tc>
        <w:tc>
          <w:tcPr>
            <w:tcW w:w="2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98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r>
              <w:rPr>
                <w:rFonts w:hint="eastAsia" w:ascii="宋体" w:hAnsi="宋体" w:cs="宋体"/>
                <w:i w:val="0"/>
                <w:iCs w:val="0"/>
                <w:color w:val="auto"/>
                <w:kern w:val="2"/>
                <w:sz w:val="21"/>
                <w:szCs w:val="21"/>
                <w:u w:val="none"/>
                <w:lang w:val="en-US" w:eastAsia="zh-CN" w:bidi="ar-SA"/>
              </w:rPr>
              <w:t>备案登记（9分）</w:t>
            </w: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rPr>
              <w:t>（1）</w:t>
            </w:r>
            <w:r>
              <w:rPr>
                <w:rFonts w:hint="eastAsia" w:ascii="宋体" w:hAnsi="宋体" w:cs="宋体"/>
                <w:i w:val="0"/>
                <w:iCs w:val="0"/>
                <w:color w:val="auto"/>
                <w:kern w:val="0"/>
                <w:sz w:val="21"/>
                <w:szCs w:val="21"/>
                <w:u w:val="none"/>
                <w:lang w:val="en-US" w:eastAsia="zh-CN" w:bidi="ar"/>
              </w:rPr>
              <w:t>取得营业执照之日起90日内未通过国务院商务主管部门全国汽车流通信息管理系统备案基本信息，扣3分；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Arial" w:cs="宋体"/>
                <w:i w:val="0"/>
                <w:iCs w:val="0"/>
                <w:snapToGrid w:val="0"/>
                <w:color w:val="auto"/>
                <w:kern w:val="0"/>
                <w:sz w:val="21"/>
                <w:szCs w:val="21"/>
                <w:lang w:val="en-US" w:eastAsia="zh-CN" w:bidi="ar"/>
              </w:rPr>
              <w:t>（2）</w:t>
            </w:r>
            <w:r>
              <w:rPr>
                <w:rFonts w:hint="eastAsia" w:ascii="宋体" w:hAnsi="宋体" w:cs="宋体"/>
                <w:i w:val="0"/>
                <w:iCs w:val="0"/>
                <w:color w:val="auto"/>
                <w:kern w:val="0"/>
                <w:sz w:val="21"/>
                <w:szCs w:val="21"/>
                <w:u w:val="none"/>
                <w:lang w:val="en-US" w:eastAsia="zh-CN" w:bidi="ar"/>
              </w:rPr>
              <w:t>基本信息发生变更，自信息变更之日起30日内未完成信息更新，扣3分。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lang w:val="en-US" w:eastAsia="zh-CN" w:bidi="ar"/>
              </w:rPr>
              <w:t>（3）</w:t>
            </w:r>
            <w:r>
              <w:rPr>
                <w:rFonts w:hint="eastAsia" w:ascii="宋体" w:hAnsi="宋体" w:cs="宋体"/>
                <w:i w:val="0"/>
                <w:iCs w:val="0"/>
                <w:color w:val="auto"/>
                <w:kern w:val="0"/>
                <w:sz w:val="21"/>
                <w:szCs w:val="21"/>
                <w:u w:val="none"/>
                <w:lang w:val="en-US" w:eastAsia="zh-CN" w:bidi="ar"/>
              </w:rPr>
              <w:t>分分。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color w:val="000000"/>
              </w:rPr>
            </w:pPr>
          </w:p>
        </w:tc>
        <w:tc>
          <w:tcPr>
            <w:tcW w:w="90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3</w:t>
            </w:r>
          </w:p>
        </w:tc>
        <w:tc>
          <w:tcPr>
            <w:tcW w:w="198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right="105" w:rightChars="50"/>
              <w:jc w:val="center"/>
              <w:textAlignment w:val="center"/>
              <w:rPr>
                <w:rFonts w:hint="eastAsia"/>
                <w:color w:val="FF000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right="105" w:rightChars="50"/>
              <w:jc w:val="center"/>
              <w:textAlignment w:val="center"/>
              <w:rPr>
                <w:rFonts w:hint="eastAsia"/>
                <w:color w:val="auto"/>
                <w:lang w:val="en-US" w:eastAsia="zh-CN"/>
              </w:rPr>
            </w:pPr>
            <w:r>
              <w:rPr>
                <w:rFonts w:hint="eastAsia"/>
                <w:color w:val="auto"/>
                <w:lang w:val="en-US" w:eastAsia="zh-CN"/>
              </w:rPr>
              <w:t>经营场所（6分）</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r>
              <w:rPr>
                <w:rFonts w:hint="eastAsia" w:ascii="宋体" w:hAnsi="宋体" w:eastAsia="宋体" w:cs="宋体"/>
                <w:color w:val="auto"/>
                <w:lang w:val="en-US" w:eastAsia="zh-CN"/>
              </w:rPr>
              <w:t>（1）未具备客户接待台、车辆展示区、业务洽谈区等服务区域，扣2分；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c>
          <w:tcPr>
            <w:tcW w:w="2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r>
              <w:rPr>
                <w:rFonts w:hint="eastAsia" w:ascii="宋体" w:hAnsi="宋体" w:eastAsia="宋体" w:cs="宋体"/>
                <w:color w:val="auto"/>
                <w:lang w:val="en-US" w:eastAsia="zh-CN"/>
              </w:rPr>
              <w:t>（2）未具备车型宣传材料，扣2分；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r>
              <w:rPr>
                <w:rFonts w:hint="eastAsia" w:ascii="宋体" w:hAnsi="宋体" w:eastAsia="宋体" w:cs="宋体"/>
                <w:color w:val="auto"/>
                <w:lang w:val="en-US" w:eastAsia="zh-CN"/>
              </w:rPr>
              <w:t>（3）出售家用汽车产品，未明示家用汽车产品的“三包”信息，扣2分。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color w:val="000000"/>
                <w:lang w:eastAsia="zh-CN"/>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4" w:type="dxa"/>
            <w:vMerge w:val="restart"/>
            <w:noWrap w:val="0"/>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36"/>
                <w:szCs w:val="36"/>
                <w:u w:val="none"/>
                <w:lang w:val="en-US" w:eastAsia="zh-CN" w:bidi="ar-SA"/>
              </w:rPr>
              <w:t>诚 信 经 营</w:t>
            </w:r>
          </w:p>
        </w:tc>
        <w:tc>
          <w:tcPr>
            <w:tcW w:w="90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2"/>
                <w:sz w:val="21"/>
                <w:szCs w:val="21"/>
                <w:u w:val="none"/>
                <w:lang w:val="en-US" w:eastAsia="zh-CN" w:bidi="ar-SA"/>
              </w:rPr>
              <w:t>4</w:t>
            </w:r>
          </w:p>
        </w:tc>
        <w:tc>
          <w:tcPr>
            <w:tcW w:w="198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r>
              <w:rPr>
                <w:rFonts w:hint="eastAsia"/>
                <w:color w:val="auto"/>
                <w:lang w:eastAsia="zh-CN"/>
              </w:rPr>
              <w:t>行政处罚（</w:t>
            </w:r>
            <w:r>
              <w:rPr>
                <w:rFonts w:hint="eastAsia"/>
                <w:color w:val="auto"/>
                <w:lang w:val="en-US" w:eastAsia="zh-CN"/>
              </w:rPr>
              <w:t>15分</w:t>
            </w:r>
            <w:r>
              <w:rPr>
                <w:rFonts w:hint="eastAsia"/>
                <w:color w:val="auto"/>
                <w:lang w:eastAsia="zh-CN"/>
              </w:rPr>
              <w:t>）</w:t>
            </w: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auto"/>
                <w:lang w:val="en-US" w:eastAsia="zh-CN"/>
              </w:rPr>
              <w:t>（1）</w:t>
            </w:r>
            <w:r>
              <w:rPr>
                <w:rFonts w:hint="eastAsia"/>
                <w:color w:val="000000" w:themeColor="text1"/>
                <w:lang w:val="en-US" w:eastAsia="zh-CN"/>
                <w14:textFill>
                  <w14:solidFill>
                    <w14:schemeClr w14:val="tx1"/>
                  </w14:solidFill>
                </w14:textFill>
              </w:rPr>
              <w:t>评价年度内受到行政处罚的，每次扣5分，受到三次及以上的直接评为D级；</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p>
        </w:tc>
        <w:tc>
          <w:tcPr>
            <w:tcW w:w="2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auto"/>
                <w:lang w:val="en-US" w:eastAsia="zh-CN"/>
              </w:rPr>
              <w:t>（2）</w:t>
            </w:r>
            <w:r>
              <w:rPr>
                <w:rFonts w:hint="eastAsia"/>
                <w:color w:val="000000" w:themeColor="text1"/>
                <w:lang w:val="en-US" w:eastAsia="zh-CN"/>
                <w14:textFill>
                  <w14:solidFill>
                    <w14:schemeClr w14:val="tx1"/>
                  </w14:solidFill>
                </w14:textFill>
              </w:rPr>
              <w:t>评价年度内被纳入严重主体失信名单的，直接评为D级；</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color w:val="000000" w:themeColor="text1"/>
                <w:lang w:val="en-US" w:eastAsia="zh-CN"/>
                <w14:textFill>
                  <w14:solidFill>
                    <w14:schemeClr w14:val="tx1"/>
                  </w14:solidFill>
                </w14:textFill>
              </w:rPr>
              <w:t>评价年度内被列为失信被执行人扣5分，并取消评A级资格。</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98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交易行为</w:t>
            </w:r>
            <w:r>
              <w:rPr>
                <w:rFonts w:hint="eastAsia"/>
                <w:color w:val="auto"/>
              </w:rPr>
              <w:t>（</w:t>
            </w:r>
            <w:r>
              <w:rPr>
                <w:rFonts w:hint="eastAsia"/>
                <w:color w:val="auto"/>
                <w:lang w:val="en-US" w:eastAsia="zh-CN"/>
              </w:rPr>
              <w:t>6</w:t>
            </w:r>
            <w:r>
              <w:rPr>
                <w:rFonts w:hint="eastAsia"/>
                <w:color w:val="auto"/>
              </w:rPr>
              <w:t>分）</w:t>
            </w: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cs="宋体"/>
                <w:i w:val="0"/>
                <w:iCs w:val="0"/>
                <w:color w:val="auto"/>
                <w:kern w:val="0"/>
                <w:sz w:val="21"/>
                <w:szCs w:val="21"/>
                <w:u w:val="none"/>
                <w:lang w:val="en-US" w:eastAsia="zh-CN" w:bidi="ar"/>
              </w:rPr>
            </w:pPr>
            <w:r>
              <w:rPr>
                <w:rFonts w:hint="eastAsia"/>
                <w:color w:val="auto"/>
                <w:lang w:val="en-US" w:eastAsia="zh-CN"/>
              </w:rPr>
              <w:t>（1）未在显著位置明示销售汽车收费标准，扣2分；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default"/>
                <w:color w:val="auto"/>
                <w:lang w:val="en-US" w:eastAsia="zh-CN"/>
              </w:rPr>
            </w:pPr>
            <w:r>
              <w:rPr>
                <w:rFonts w:hint="eastAsia"/>
                <w:color w:val="auto"/>
                <w:lang w:val="en-US" w:eastAsia="zh-CN"/>
              </w:rPr>
              <w:t>（2）（查看销售台账、销售合同、价格政策等）在标价之外加价出售汽车或者收取未标明的费用，扣2分；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default"/>
                <w:color w:val="auto"/>
                <w:lang w:val="en-US" w:eastAsia="zh-CN"/>
              </w:rPr>
            </w:pPr>
            <w:r>
              <w:rPr>
                <w:rFonts w:hint="eastAsia"/>
                <w:color w:val="auto"/>
                <w:lang w:val="en-US" w:eastAsia="zh-CN"/>
              </w:rPr>
              <w:t>（3）未按照“一车一票”原则一个“车辆识别代号”或“车架号”开具机动车销售统一发票，扣2分。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color w:val="000000"/>
              </w:rPr>
            </w:pPr>
          </w:p>
        </w:tc>
        <w:tc>
          <w:tcPr>
            <w:tcW w:w="90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6</w:t>
            </w:r>
          </w:p>
        </w:tc>
        <w:tc>
          <w:tcPr>
            <w:tcW w:w="198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right="105" w:rightChars="50"/>
              <w:jc w:val="center"/>
              <w:textAlignment w:val="center"/>
              <w:rPr>
                <w:rFonts w:hint="eastAsia"/>
                <w:color w:val="FF000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color w:val="auto"/>
                <w:lang w:eastAsia="zh-CN"/>
              </w:rPr>
            </w:pPr>
            <w:r>
              <w:rPr>
                <w:rFonts w:hint="eastAsia"/>
                <w:color w:val="auto"/>
                <w:lang w:eastAsia="zh-CN"/>
              </w:rPr>
              <w:t>投诉与售后服务（</w:t>
            </w:r>
            <w:r>
              <w:rPr>
                <w:rFonts w:hint="eastAsia"/>
                <w:color w:val="auto"/>
                <w:lang w:val="en-US" w:eastAsia="zh-CN"/>
              </w:rPr>
              <w:t>16分</w:t>
            </w:r>
            <w:r>
              <w:rPr>
                <w:rFonts w:hint="eastAsia"/>
                <w:color w:val="auto"/>
                <w:lang w:eastAsia="zh-CN"/>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r>
              <w:rPr>
                <w:rFonts w:hint="eastAsia"/>
                <w:color w:val="auto"/>
              </w:rPr>
              <w:t>（1）</w:t>
            </w:r>
            <w:r>
              <w:rPr>
                <w:rFonts w:hint="eastAsia"/>
                <w:color w:val="auto"/>
                <w:lang w:eastAsia="zh-CN"/>
              </w:rPr>
              <w:t>未建立健全消费者投诉制度，扣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c>
          <w:tcPr>
            <w:tcW w:w="2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r>
              <w:rPr>
                <w:rFonts w:hint="eastAsia"/>
                <w:color w:val="auto"/>
              </w:rPr>
              <w:t>（2）</w:t>
            </w:r>
            <w:r>
              <w:rPr>
                <w:rFonts w:hint="eastAsia"/>
                <w:color w:val="auto"/>
                <w:lang w:eastAsia="zh-CN"/>
              </w:rPr>
              <w:t>未在显著位置明示投诉渠道及投诉流程，扣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r>
              <w:rPr>
                <w:rFonts w:hint="eastAsia"/>
                <w:color w:val="auto"/>
                <w:lang w:val="en-US" w:eastAsia="zh-CN"/>
              </w:rPr>
              <w:t>（3）</w:t>
            </w:r>
            <w:r>
              <w:rPr>
                <w:rFonts w:hint="eastAsia"/>
                <w:color w:val="auto"/>
                <w:lang w:eastAsia="zh-CN"/>
              </w:rPr>
              <w:t>未明确受理投诉部门和人员，</w:t>
            </w:r>
            <w:r>
              <w:rPr>
                <w:rFonts w:hint="eastAsia"/>
                <w:color w:val="auto"/>
                <w:lang w:val="en-US" w:eastAsia="zh-CN"/>
              </w:rPr>
              <w:t xml:space="preserve"> </w:t>
            </w:r>
            <w:r>
              <w:rPr>
                <w:rFonts w:hint="eastAsia"/>
                <w:color w:val="auto"/>
                <w:lang w:eastAsia="zh-CN"/>
              </w:rPr>
              <w:t>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color w:val="000000"/>
                <w:lang w:eastAsia="zh-CN"/>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kern w:val="2"/>
                <w:sz w:val="21"/>
                <w:szCs w:val="24"/>
                <w:lang w:val="en-US" w:eastAsia="zh-CN" w:bidi="ar-SA"/>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kern w:val="2"/>
                <w:sz w:val="21"/>
                <w:szCs w:val="24"/>
                <w:lang w:val="en-US" w:eastAsia="zh-CN" w:bidi="ar-SA"/>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kern w:val="2"/>
                <w:sz w:val="21"/>
                <w:szCs w:val="24"/>
                <w:lang w:val="en-US" w:eastAsia="zh-CN" w:bidi="ar-SA"/>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kern w:val="2"/>
                <w:sz w:val="21"/>
                <w:szCs w:val="24"/>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column">
                        <wp:posOffset>-2552065</wp:posOffset>
                      </wp:positionH>
                      <wp:positionV relativeFrom="paragraph">
                        <wp:posOffset>683895</wp:posOffset>
                      </wp:positionV>
                      <wp:extent cx="398145" cy="2877185"/>
                      <wp:effectExtent l="0" t="0" r="0" b="0"/>
                      <wp:wrapNone/>
                      <wp:docPr id="6" name="文本框 6"/>
                      <wp:cNvGraphicFramePr/>
                      <a:graphic xmlns:a="http://schemas.openxmlformats.org/drawingml/2006/main">
                        <a:graphicData uri="http://schemas.microsoft.com/office/word/2010/wordprocessingShape">
                          <wps:wsp>
                            <wps:cNvSpPr txBox="true"/>
                            <wps:spPr>
                              <a:xfrm>
                                <a:off x="882015" y="1831975"/>
                                <a:ext cx="398145" cy="2877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both"/>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诚信</w:t>
                                  </w:r>
                                </w:p>
                                <w:p>
                                  <w:pPr>
                                    <w:spacing w:line="360" w:lineRule="auto"/>
                                    <w:jc w:val="both"/>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经营</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0.95pt;margin-top:53.85pt;height:226.55pt;width:31.35pt;z-index:251662336;mso-width-relative:page;mso-height-relative:page;" filled="f" stroked="f" coordsize="21600,21600" o:gfxdata="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MW95Qt4AAAANAQAADwAAAAAA&#10;AAABACAAAAA4AAAAZHJzL2Rvd25yZXYueG1sUEsBAhQAFAAAAAgAh07iQLW1MkAwAgAANQQAAA4A&#10;AAAAAAAAAQAgAAAAQwEAAGRycy9lMm9Eb2MueG1sUEsFBgAAAAAGAAYAWQEAAOUFAAAAAA==&#10;">
                      <v:fill on="f" focussize="0,0"/>
                      <v:stroke on="f" weight="0.5pt"/>
                      <v:imagedata o:title=""/>
                      <o:lock v:ext="edit" aspectratio="f"/>
                      <v:textbox>
                        <w:txbxContent>
                          <w:p>
                            <w:pPr>
                              <w:spacing w:line="360" w:lineRule="auto"/>
                              <w:jc w:val="both"/>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诚信</w:t>
                            </w:r>
                          </w:p>
                          <w:p>
                            <w:pPr>
                              <w:spacing w:line="360" w:lineRule="auto"/>
                              <w:jc w:val="both"/>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经营</w:t>
                            </w:r>
                          </w:p>
                          <w:p/>
                        </w:txbxContent>
                      </v:textbox>
                    </v:shape>
                  </w:pict>
                </mc:Fallback>
              </mc:AlternateContent>
            </w: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sz w:val="21"/>
                <w:szCs w:val="21"/>
                <w:vertAlign w:val="baseline"/>
                <w:lang w:val="en-US" w:eastAsia="zh-CN"/>
              </w:rPr>
              <w:t>（7个工作日内通知投诉的消费者处理结果）</w:t>
            </w:r>
            <w:r>
              <w:rPr>
                <w:rFonts w:hint="eastAsia"/>
                <w:color w:val="auto"/>
                <w:lang w:eastAsia="zh-CN"/>
              </w:rPr>
              <w:t>未建立并留存真实、完整、规范的投诉记录，扣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c>
          <w:tcPr>
            <w:tcW w:w="2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r>
              <w:rPr>
                <w:rFonts w:hint="eastAsia"/>
                <w:color w:val="auto"/>
                <w:lang w:eastAsia="zh-CN"/>
              </w:rPr>
              <w:t>（</w:t>
            </w:r>
            <w:r>
              <w:rPr>
                <w:rFonts w:hint="eastAsia"/>
                <w:color w:val="auto"/>
                <w:lang w:val="en-US" w:eastAsia="zh-CN"/>
              </w:rPr>
              <w:t>5</w:t>
            </w:r>
            <w:r>
              <w:rPr>
                <w:rFonts w:hint="eastAsia"/>
                <w:color w:val="auto"/>
                <w:lang w:eastAsia="zh-CN"/>
              </w:rPr>
              <w:t>）未建立售后服务制度，扣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cs="宋体"/>
                <w:i w:val="0"/>
                <w:iCs w:val="0"/>
                <w:color w:val="auto"/>
                <w:kern w:val="2"/>
                <w:sz w:val="21"/>
                <w:szCs w:val="21"/>
                <w:u w:val="none"/>
                <w:lang w:val="en-US" w:eastAsia="zh-CN" w:bidi="ar-SA"/>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color w:val="auto"/>
                <w:lang w:val="en-US" w:eastAsia="zh-CN"/>
              </w:rPr>
            </w:pPr>
            <w:r>
              <w:rPr>
                <w:rFonts w:hint="eastAsia"/>
                <w:color w:val="auto"/>
                <w:lang w:eastAsia="zh-CN"/>
              </w:rPr>
              <w:t>（</w:t>
            </w:r>
            <w:r>
              <w:rPr>
                <w:rFonts w:hint="eastAsia"/>
                <w:color w:val="auto"/>
                <w:lang w:val="en-US" w:eastAsia="zh-CN"/>
              </w:rPr>
              <w:t>6</w:t>
            </w:r>
            <w:r>
              <w:rPr>
                <w:rFonts w:hint="eastAsia"/>
                <w:color w:val="auto"/>
                <w:lang w:eastAsia="zh-CN"/>
              </w:rPr>
              <w:t>）未在本企业网站或经营场所公示与其合作的售后服务商名单，扣</w:t>
            </w:r>
            <w:r>
              <w:rPr>
                <w:rFonts w:hint="eastAsia"/>
                <w:color w:val="auto"/>
                <w:lang w:val="en-US" w:eastAsia="zh-CN"/>
              </w:rPr>
              <w:t>3分。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cs="宋体"/>
                <w:i w:val="0"/>
                <w:iCs w:val="0"/>
                <w:color w:val="auto"/>
                <w:kern w:val="2"/>
                <w:sz w:val="21"/>
                <w:szCs w:val="21"/>
                <w:u w:val="none"/>
                <w:lang w:val="en-US" w:eastAsia="zh-CN" w:bidi="ar-SA"/>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color w:val="auto"/>
                <w:lang w:val="en-US" w:eastAsia="zh-CN"/>
              </w:rPr>
            </w:pPr>
            <w:r>
              <w:rPr>
                <w:rFonts w:hint="eastAsia"/>
                <w:color w:val="auto"/>
                <w:lang w:val="en-US" w:eastAsia="zh-CN"/>
              </w:rPr>
              <w:t>（7）未在显著位置明示汽车产品质量保证、保修服务及消费者需知悉的其他售后服务政策，扣2分；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cs="宋体"/>
                <w:i w:val="0"/>
                <w:iCs w:val="0"/>
                <w:color w:val="auto"/>
                <w:kern w:val="2"/>
                <w:sz w:val="21"/>
                <w:szCs w:val="21"/>
                <w:u w:val="none"/>
                <w:lang w:val="en-US" w:eastAsia="zh-CN" w:bidi="ar-SA"/>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color w:val="auto"/>
                <w:lang w:val="en-US" w:eastAsia="zh-CN"/>
              </w:rPr>
            </w:pPr>
            <w:r>
              <w:rPr>
                <w:rFonts w:hint="eastAsia"/>
                <w:color w:val="auto"/>
                <w:lang w:val="en-US" w:eastAsia="zh-CN"/>
              </w:rPr>
              <w:t>（8）未定期对客户进行售后回访，扣2分。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r>
              <w:rPr>
                <w:rFonts w:hint="eastAsia" w:ascii="宋体" w:hAnsi="宋体" w:eastAsia="宋体" w:cs="宋体"/>
                <w:lang w:val="en-US" w:eastAsia="zh-CN"/>
              </w:rPr>
              <w:t>7</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r>
              <w:rPr>
                <w:rFonts w:hint="eastAsia" w:ascii="宋体" w:hAnsi="宋体" w:cs="宋体"/>
                <w:i w:val="0"/>
                <w:iCs w:val="0"/>
                <w:color w:val="auto"/>
                <w:kern w:val="2"/>
                <w:sz w:val="21"/>
                <w:szCs w:val="21"/>
                <w:u w:val="none"/>
                <w:lang w:val="en-US" w:eastAsia="zh-CN" w:bidi="ar-SA"/>
              </w:rPr>
              <w:t>档案管理（2分）</w:t>
            </w: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color w:val="auto"/>
                <w:lang w:val="en-US" w:eastAsia="zh-CN"/>
              </w:rPr>
              <w:t xml:space="preserve"> 未建立汽车销售、用户等信息档案，保存期限少于10年，扣2分。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38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质</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量</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b/>
                <w:bCs/>
                <w:sz w:val="36"/>
                <w:szCs w:val="36"/>
                <w:lang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b/>
                <w:bCs/>
                <w:sz w:val="36"/>
                <w:szCs w:val="36"/>
                <w:lang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b/>
                <w:bCs/>
                <w:sz w:val="36"/>
                <w:szCs w:val="36"/>
                <w:lang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b/>
                <w:bCs/>
                <w:sz w:val="36"/>
                <w:szCs w:val="36"/>
                <w:lang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eastAsia="zh-CN"/>
              </w:rPr>
            </w:pPr>
          </w:p>
        </w:tc>
        <w:tc>
          <w:tcPr>
            <w:tcW w:w="90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default" w:ascii="宋体" w:hAnsi="宋体" w:eastAsia="宋体" w:cs="宋体"/>
                <w:lang w:val="en-US" w:eastAsia="zh-CN"/>
              </w:rPr>
            </w:pPr>
            <w:r>
              <w:rPr>
                <w:rFonts w:hint="eastAsia" w:ascii="宋体" w:hAnsi="宋体" w:eastAsia="宋体" w:cs="宋体"/>
                <w:lang w:val="en-US" w:eastAsia="zh-CN"/>
              </w:rPr>
              <w:t>8</w:t>
            </w:r>
          </w:p>
        </w:tc>
        <w:tc>
          <w:tcPr>
            <w:tcW w:w="198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default" w:ascii="宋体" w:hAnsi="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商品质量（6分）</w:t>
            </w: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）未建立质量监督制度，扣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eastAsia="zh-CN"/>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cs="宋体"/>
                <w:i w:val="0"/>
                <w:iCs w:val="0"/>
                <w:color w:val="auto"/>
                <w:kern w:val="2"/>
                <w:sz w:val="21"/>
                <w:szCs w:val="21"/>
                <w:u w:val="none"/>
                <w:lang w:val="en-US" w:eastAsia="zh-CN" w:bidi="ar-SA"/>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）未建立进货检查验收制度，扣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cs="宋体"/>
                <w:i w:val="0"/>
                <w:iCs w:val="0"/>
                <w:color w:val="auto"/>
                <w:kern w:val="2"/>
                <w:sz w:val="21"/>
                <w:szCs w:val="21"/>
                <w:u w:val="none"/>
                <w:lang w:val="en-US" w:eastAsia="zh-CN" w:bidi="ar-SA"/>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color w:val="auto"/>
                <w:lang w:val="en-US" w:eastAsia="zh-CN"/>
              </w:rPr>
            </w:pPr>
            <w:r>
              <w:rPr>
                <w:rFonts w:hint="eastAsia"/>
                <w:color w:val="auto"/>
                <w:lang w:eastAsia="zh-CN"/>
              </w:rPr>
              <w:t>（</w:t>
            </w:r>
            <w:r>
              <w:rPr>
                <w:rFonts w:hint="eastAsia"/>
                <w:color w:val="auto"/>
                <w:lang w:val="en-US" w:eastAsia="zh-CN"/>
              </w:rPr>
              <w:t>3</w:t>
            </w:r>
            <w:r>
              <w:rPr>
                <w:rFonts w:hint="eastAsia"/>
                <w:color w:val="auto"/>
                <w:lang w:eastAsia="zh-CN"/>
              </w:rPr>
              <w:t>）销售的进口汽车未具备报关证明和相关进口商品检验证明，扣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101600</wp:posOffset>
                      </wp:positionV>
                      <wp:extent cx="659765" cy="2001520"/>
                      <wp:effectExtent l="0" t="0" r="0" b="0"/>
                      <wp:wrapNone/>
                      <wp:docPr id="3" name="文本框 3"/>
                      <wp:cNvGraphicFramePr/>
                      <a:graphic xmlns:a="http://schemas.openxmlformats.org/drawingml/2006/main">
                        <a:graphicData uri="http://schemas.microsoft.com/office/word/2010/wordprocessingShape">
                          <wps:wsp>
                            <wps:cNvSpPr txBox="true"/>
                            <wps:spPr>
                              <a:xfrm>
                                <a:off x="722630" y="1830070"/>
                                <a:ext cx="659765" cy="2001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保</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障</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管</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3pt;margin-top:8pt;height:157.6pt;width:51.95pt;z-index:251659264;mso-width-relative:page;mso-height-relative:page;" filled="f" stroked="f" coordsize="21600,21600" o:gfxdata="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3kCUoNsAAAALAQAADwAAAAAAAAAB&#10;ACAAAAA4AAAAZHJzL2Rvd25yZXYueG1sUEsBAhQAFAAAAAgAh07iQK5z0TAwAgAANQQAAA4AAAAA&#10;AAAAAQAgAAAAQAEAAGRycy9lMm9Eb2MueG1sUEsFBgAAAAAGAAYAWQEAAOIFAAAAAA==&#10;">
                      <v:fill on="f" focussize="0,0"/>
                      <v:stroke on="f" weight="0.5pt"/>
                      <v:imagedata o:title=""/>
                      <o:lock v:ext="edit" aspectratio="f"/>
                      <v:textbox>
                        <w:txbxContent>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保</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障</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管</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理</w:t>
                            </w: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default" w:ascii="宋体" w:hAnsi="宋体" w:eastAsia="宋体" w:cs="宋体"/>
                <w:lang w:val="en-US" w:eastAsia="zh-CN"/>
              </w:rPr>
            </w:pPr>
            <w:r>
              <w:rPr>
                <w:rFonts w:hint="eastAsia" w:ascii="宋体" w:hAnsi="宋体" w:eastAsia="宋体" w:cs="宋体"/>
                <w:lang w:val="en-US" w:eastAsia="zh-CN"/>
              </w:rPr>
              <w:t>9</w:t>
            </w:r>
          </w:p>
        </w:tc>
        <w:tc>
          <w:tcPr>
            <w:tcW w:w="198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default" w:ascii="宋体" w:hAnsi="宋体" w:cs="宋体"/>
                <w:i w:val="0"/>
                <w:iCs w:val="0"/>
                <w:color w:val="auto"/>
                <w:kern w:val="2"/>
                <w:sz w:val="21"/>
                <w:szCs w:val="21"/>
                <w:u w:val="none"/>
                <w:lang w:val="en-US" w:eastAsia="zh-CN" w:bidi="ar-SA"/>
              </w:rPr>
            </w:pPr>
            <w:r>
              <w:rPr>
                <w:rFonts w:hint="eastAsia" w:ascii="宋体" w:hAnsi="宋体" w:cs="宋体"/>
                <w:i w:val="0"/>
                <w:iCs w:val="0"/>
                <w:color w:val="auto"/>
                <w:kern w:val="2"/>
                <w:sz w:val="21"/>
                <w:szCs w:val="21"/>
                <w:u w:val="none"/>
                <w:lang w:val="en-US" w:eastAsia="zh-CN" w:bidi="ar-SA"/>
              </w:rPr>
              <w:t>人员要求(10分)</w:t>
            </w: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default"/>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）未建立人员管理制度，扣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cs="宋体"/>
                <w:i w:val="0"/>
                <w:iCs w:val="0"/>
                <w:color w:val="auto"/>
                <w:kern w:val="2"/>
                <w:sz w:val="21"/>
                <w:szCs w:val="21"/>
                <w:u w:val="none"/>
                <w:lang w:val="en-US" w:eastAsia="zh-CN" w:bidi="ar-SA"/>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default"/>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）未对门店员工进行岗前培训，扣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default"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default" w:ascii="宋体" w:hAnsi="宋体" w:cs="宋体"/>
                <w:i w:val="0"/>
                <w:iCs w:val="0"/>
                <w:color w:val="auto"/>
                <w:kern w:val="2"/>
                <w:sz w:val="21"/>
                <w:szCs w:val="21"/>
                <w:u w:val="none"/>
                <w:lang w:val="en-US" w:eastAsia="zh-CN" w:bidi="ar-SA"/>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）销售人员未经过岗位培训并做培训记录，扣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cs="宋体"/>
                <w:i w:val="0"/>
                <w:iCs w:val="0"/>
                <w:color w:val="auto"/>
                <w:kern w:val="2"/>
                <w:sz w:val="21"/>
                <w:szCs w:val="21"/>
                <w:u w:val="none"/>
                <w:lang w:val="en-US" w:eastAsia="zh-CN" w:bidi="ar-SA"/>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）从事食品准备人员未持有效健康证上岗，扣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cs="宋体"/>
                <w:i w:val="0"/>
                <w:iCs w:val="0"/>
                <w:color w:val="auto"/>
                <w:kern w:val="2"/>
                <w:sz w:val="21"/>
                <w:szCs w:val="21"/>
                <w:u w:val="none"/>
                <w:lang w:val="en-US" w:eastAsia="zh-CN" w:bidi="ar-SA"/>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）未配备专（兼）职质量检验人员，扣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4" w:type="dxa"/>
            <w:vMerge w:val="restart"/>
            <w:noWrap w:val="0"/>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2"/>
                <w:sz w:val="21"/>
                <w:szCs w:val="21"/>
                <w:u w:val="none"/>
                <w:lang w:val="en-US" w:eastAsia="zh-CN" w:bidi="ar-SA"/>
              </w:rPr>
            </w:pPr>
            <w:r>
              <w:rPr>
                <w:sz w:val="36"/>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357505</wp:posOffset>
                      </wp:positionV>
                      <wp:extent cx="488950" cy="2308225"/>
                      <wp:effectExtent l="0" t="0" r="0" b="0"/>
                      <wp:wrapNone/>
                      <wp:docPr id="4" name="文本框 4"/>
                      <wp:cNvGraphicFramePr/>
                      <a:graphic xmlns:a="http://schemas.openxmlformats.org/drawingml/2006/main">
                        <a:graphicData uri="http://schemas.microsoft.com/office/word/2010/wordprocessingShape">
                          <wps:wsp>
                            <wps:cNvSpPr txBox="true"/>
                            <wps:spPr>
                              <a:xfrm>
                                <a:off x="870585" y="3829050"/>
                                <a:ext cx="488950" cy="2308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安全</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管</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pt;margin-top:28.15pt;height:181.75pt;width:38.5pt;z-index:251660288;mso-width-relative:page;mso-height-relative:page;" filled="f" stroked="f" coordsize="21600,21600" o:gfxdata="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noLS2QAAAAgBAAAPAAAAAAAAAAEAIAAA&#10;ADgAAABkcnMvZG93bnJldi54bWxQSwECFAAUAAAACACHTuJAynjP4S4CAAA1BAAADgAAAAAAAAAB&#10;ACAAAAA+AQAAZHJzL2Uyb0RvYy54bWxQSwUGAAAAAAYABgBZAQAA3gUAAAAA&#10;">
                      <v:fill on="f" focussize="0,0"/>
                      <v:stroke on="f" weight="0.5pt"/>
                      <v:imagedata o:title=""/>
                      <o:lock v:ext="edit" aspectratio="f"/>
                      <v:textbox>
                        <w:txbxContent>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安全</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管</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理</w:t>
                            </w:r>
                          </w:p>
                          <w:p>
                            <w:pPr>
                              <w:rPr>
                                <w:rFonts w:hint="eastAsia"/>
                                <w:lang w:eastAsia="zh-CN"/>
                              </w:rPr>
                            </w:pPr>
                          </w:p>
                        </w:txbxContent>
                      </v:textbox>
                    </v:shape>
                  </w:pict>
                </mc:Fallback>
              </mc:AlternateContent>
            </w:r>
            <w:r>
              <w:rPr>
                <w:rFonts w:hint="eastAsia" w:ascii="宋体" w:hAnsi="宋体" w:eastAsia="宋体" w:cs="宋体"/>
                <w:b/>
                <w:bCs/>
                <w:i w:val="0"/>
                <w:iCs w:val="0"/>
                <w:color w:val="000000"/>
                <w:kern w:val="2"/>
                <w:sz w:val="36"/>
                <w:szCs w:val="36"/>
                <w:u w:val="none"/>
                <w:lang w:val="en-US" w:eastAsia="zh-CN" w:bidi="ar-SA"/>
              </w:rPr>
              <w:t xml:space="preserve">   </w:t>
            </w:r>
          </w:p>
        </w:tc>
        <w:tc>
          <w:tcPr>
            <w:tcW w:w="90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2"/>
                <w:sz w:val="21"/>
                <w:szCs w:val="21"/>
                <w:u w:val="none"/>
                <w:lang w:val="en-US" w:eastAsia="zh-CN" w:bidi="ar-SA"/>
              </w:rPr>
              <w:t>10</w:t>
            </w:r>
          </w:p>
        </w:tc>
        <w:tc>
          <w:tcPr>
            <w:tcW w:w="198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安全管理（15分）</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olor w:val="auto"/>
                <w:lang w:eastAsia="zh-CN"/>
              </w:rPr>
              <w:t>未制定完善的安全管理制度，扣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p>
        </w:tc>
        <w:tc>
          <w:tcPr>
            <w:tcW w:w="2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auto"/>
                <w:lang w:eastAsia="zh-CN"/>
              </w:rPr>
              <w:t>（</w:t>
            </w:r>
            <w:r>
              <w:rPr>
                <w:rFonts w:hint="eastAsia"/>
                <w:color w:val="auto"/>
                <w:lang w:val="en-US" w:eastAsia="zh-CN"/>
              </w:rPr>
              <w:t>2</w:t>
            </w:r>
            <w:r>
              <w:rPr>
                <w:rFonts w:hint="eastAsia"/>
                <w:color w:val="auto"/>
                <w:lang w:eastAsia="zh-CN"/>
              </w:rPr>
              <w:t>）试乘试驾人员未持有相应的机动车驾驶证并做登记记录，扣</w:t>
            </w:r>
            <w:r>
              <w:rPr>
                <w:rFonts w:hint="eastAsia"/>
                <w:color w:val="auto"/>
                <w:lang w:val="en-US" w:eastAsia="zh-CN"/>
              </w:rPr>
              <w:t>2</w:t>
            </w:r>
            <w:r>
              <w:rPr>
                <w:rFonts w:hint="eastAsia"/>
                <w:color w:val="auto"/>
                <w:lang w:eastAsia="zh-CN"/>
              </w:rPr>
              <w:t>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lang w:val="en-US" w:eastAsia="zh-CN" w:bidi="ar"/>
              </w:rPr>
              <w:t>（3）</w:t>
            </w:r>
            <w:r>
              <w:rPr>
                <w:rFonts w:hint="eastAsia"/>
                <w:color w:val="auto"/>
                <w:lang w:eastAsia="zh-CN"/>
              </w:rPr>
              <w:t>提供试乘试驾服务时，未与消费者签署试驾试乘协议，扣</w:t>
            </w:r>
            <w:r>
              <w:rPr>
                <w:rFonts w:hint="eastAsia"/>
                <w:color w:val="auto"/>
                <w:lang w:val="en-US" w:eastAsia="zh-CN"/>
              </w:rPr>
              <w:t>3分；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snapToGrid w:val="0"/>
                <w:color w:val="000000"/>
                <w:kern w:val="0"/>
                <w:sz w:val="21"/>
                <w:szCs w:val="21"/>
                <w:lang w:val="en-US" w:eastAsia="zh-CN" w:bidi="ar"/>
              </w:rPr>
            </w:pPr>
            <w:r>
              <w:rPr>
                <w:rFonts w:hint="eastAsia"/>
                <w:color w:val="auto"/>
                <w:lang w:eastAsia="zh-CN"/>
              </w:rPr>
              <w:t>（</w:t>
            </w:r>
            <w:r>
              <w:rPr>
                <w:rFonts w:hint="eastAsia"/>
                <w:color w:val="auto"/>
                <w:lang w:val="en-US" w:eastAsia="zh-CN"/>
              </w:rPr>
              <w:t>4</w:t>
            </w:r>
            <w:r>
              <w:rPr>
                <w:rFonts w:hint="eastAsia"/>
                <w:color w:val="auto"/>
                <w:lang w:eastAsia="zh-CN"/>
              </w:rPr>
              <w:t>）未制定试乘试驾过程中异常或紧急情况的应急处置措施，</w:t>
            </w:r>
            <w:r>
              <w:rPr>
                <w:rFonts w:hint="eastAsia"/>
                <w:color w:val="auto"/>
                <w:lang w:val="en-US" w:eastAsia="zh-CN"/>
              </w:rPr>
              <w:t>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snapToGrid w:val="0"/>
                <w:color w:val="000000"/>
                <w:kern w:val="0"/>
                <w:sz w:val="21"/>
                <w:szCs w:val="21"/>
                <w:lang w:val="en-US" w:eastAsia="zh-CN" w:bidi="ar"/>
              </w:rPr>
            </w:pPr>
            <w:r>
              <w:rPr>
                <w:rFonts w:hint="eastAsia"/>
                <w:color w:val="auto"/>
                <w:lang w:eastAsia="zh-CN"/>
              </w:rPr>
              <w:t>（</w:t>
            </w:r>
            <w:r>
              <w:rPr>
                <w:rFonts w:hint="eastAsia"/>
                <w:color w:val="auto"/>
                <w:lang w:val="en-US" w:eastAsia="zh-CN"/>
              </w:rPr>
              <w:t>5</w:t>
            </w:r>
            <w:r>
              <w:rPr>
                <w:rFonts w:hint="eastAsia"/>
                <w:color w:val="auto"/>
                <w:lang w:eastAsia="zh-CN"/>
              </w:rPr>
              <w:t>）未在显著位置设置安全标识和安全提示，扣</w:t>
            </w:r>
            <w:r>
              <w:rPr>
                <w:rFonts w:hint="eastAsia"/>
                <w:color w:val="auto"/>
                <w:lang w:val="en-US" w:eastAsia="zh-CN"/>
              </w:rPr>
              <w:t>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snapToGrid w:val="0"/>
                <w:color w:val="000000"/>
                <w:kern w:val="0"/>
                <w:sz w:val="21"/>
                <w:szCs w:val="21"/>
                <w:lang w:val="en-US" w:eastAsia="zh-CN" w:bidi="ar"/>
              </w:rPr>
            </w:pPr>
            <w:r>
              <w:rPr>
                <w:rFonts w:hint="eastAsia"/>
                <w:color w:val="auto"/>
                <w:lang w:eastAsia="zh-CN"/>
              </w:rPr>
              <w:t>（</w:t>
            </w:r>
            <w:r>
              <w:rPr>
                <w:rFonts w:hint="eastAsia"/>
                <w:color w:val="auto"/>
                <w:lang w:val="en-US" w:eastAsia="zh-CN"/>
              </w:rPr>
              <w:t>6</w:t>
            </w:r>
            <w:r>
              <w:rPr>
                <w:rFonts w:hint="eastAsia"/>
                <w:color w:val="auto"/>
                <w:lang w:eastAsia="zh-CN"/>
              </w:rPr>
              <w:t>）未制定安全应急处理预案，</w:t>
            </w:r>
            <w:r>
              <w:rPr>
                <w:rFonts w:hint="eastAsia"/>
                <w:color w:val="auto"/>
              </w:rPr>
              <w:t>扣</w:t>
            </w:r>
            <w:r>
              <w:rPr>
                <w:rFonts w:hint="eastAsia"/>
                <w:color w:val="auto"/>
                <w:lang w:val="en-US" w:eastAsia="zh-CN"/>
              </w:rPr>
              <w:t>2</w:t>
            </w:r>
            <w:r>
              <w:rPr>
                <w:rFonts w:hint="eastAsia"/>
                <w:color w:val="auto"/>
              </w:rPr>
              <w:t>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84" w:type="dxa"/>
            <w:vMerge w:val="continue"/>
            <w:noWrap w:val="0"/>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sz w:val="21"/>
                <w:szCs w:val="21"/>
                <w:vertAlign w:val="baseline"/>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sz w:val="21"/>
              </w:rPr>
              <mc:AlternateContent>
                <mc:Choice Requires="wps">
                  <w:drawing>
                    <wp:anchor distT="0" distB="0" distL="114300" distR="114300" simplePos="0" relativeHeight="251661312" behindDoc="0" locked="0" layoutInCell="1" allowOverlap="1">
                      <wp:simplePos x="0" y="0"/>
                      <wp:positionH relativeFrom="column">
                        <wp:posOffset>-2607945</wp:posOffset>
                      </wp:positionH>
                      <wp:positionV relativeFrom="paragraph">
                        <wp:posOffset>270510</wp:posOffset>
                      </wp:positionV>
                      <wp:extent cx="579755" cy="3468370"/>
                      <wp:effectExtent l="0" t="0" r="0" b="0"/>
                      <wp:wrapNone/>
                      <wp:docPr id="5" name="文本框 5"/>
                      <wp:cNvGraphicFramePr/>
                      <a:graphic xmlns:a="http://schemas.openxmlformats.org/drawingml/2006/main">
                        <a:graphicData uri="http://schemas.microsoft.com/office/word/2010/wordprocessingShape">
                          <wps:wsp>
                            <wps:cNvSpPr txBox="true"/>
                            <wps:spPr>
                              <a:xfrm>
                                <a:off x="802640" y="2037080"/>
                                <a:ext cx="579755" cy="3468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安全</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管</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理</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5.35pt;margin-top:21.3pt;height:273.1pt;width:45.65pt;z-index:251661312;mso-width-relative:page;mso-height-relative:page;" filled="f" stroked="f" coordsize="21600,21600" o:gfxdata="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8V5Fit0AAAAMAQAADwAAAAAAAAAB&#10;ACAAAAA4AAAAZHJzL2Rvd25yZXYueG1sUEsBAhQAFAAAAAgAh07iQJT0PvguAgAANQQAAA4AAAAA&#10;AAAAAQAgAAAAQgEAAGRycy9lMm9Eb2MueG1sUEsFBgAAAAAGAAYAWQEAAOIFAAAAAA==&#10;">
                      <v:fill on="f" focussize="0,0"/>
                      <v:stroke on="f" weight="0.5pt"/>
                      <v:imagedata o:title=""/>
                      <o:lock v:ext="edit" aspectratio="f"/>
                      <v:textbox>
                        <w:txbxContent>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安全</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管</w:t>
                            </w:r>
                          </w:p>
                          <w:p>
                            <w:pPr>
                              <w:spacing w:line="360" w:lineRule="auto"/>
                              <w:jc w:val="cente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eastAsia="宋体"/>
                                <w:b/>
                                <w:bCs/>
                                <w:color w:val="auto"/>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理</w:t>
                            </w:r>
                          </w:p>
                          <w:p/>
                        </w:txbxContent>
                      </v:textbox>
                    </v:shape>
                  </w:pict>
                </mc:Fallback>
              </mc:AlternateContent>
            </w:r>
            <w:r>
              <w:rPr>
                <w:rFonts w:hint="eastAsia" w:ascii="宋体" w:hAnsi="宋体" w:eastAsia="宋体" w:cs="宋体"/>
                <w:i w:val="0"/>
                <w:iCs w:val="0"/>
                <w:color w:val="auto"/>
                <w:kern w:val="0"/>
                <w:sz w:val="21"/>
                <w:szCs w:val="21"/>
                <w:u w:val="none"/>
                <w:lang w:val="en-US" w:eastAsia="zh-CN" w:bidi="ar"/>
              </w:rPr>
              <w:t>（7）陪乘人员未具备3年以上有效驾驶经验，扣2分。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default" w:ascii="宋体" w:hAnsi="宋体" w:eastAsia="宋体" w:cs="宋体"/>
                <w:color w:val="000000"/>
                <w:lang w:val="en-US" w:eastAsia="zh-CN"/>
              </w:rPr>
            </w:pPr>
            <w:r>
              <w:rPr>
                <w:rFonts w:hint="eastAsia" w:ascii="宋体" w:hAnsi="宋体" w:eastAsia="宋体" w:cs="宋体"/>
                <w:lang w:val="en-US" w:eastAsia="zh-CN"/>
              </w:rPr>
              <w:t>11</w:t>
            </w:r>
          </w:p>
        </w:tc>
        <w:tc>
          <w:tcPr>
            <w:tcW w:w="198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消防安全（12分）</w:t>
            </w: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auto"/>
              </w:rPr>
              <w:t>（1）</w:t>
            </w:r>
            <w:r>
              <w:rPr>
                <w:rFonts w:hint="eastAsia" w:ascii="宋体" w:hAnsi="宋体" w:eastAsia="宋体" w:cs="宋体"/>
                <w:color w:val="auto"/>
              </w:rPr>
              <w:t>消防设施、器材未完好有效，扣</w:t>
            </w:r>
            <w:r>
              <w:rPr>
                <w:rFonts w:hint="eastAsia" w:ascii="宋体" w:hAnsi="宋体" w:eastAsia="宋体" w:cs="宋体"/>
                <w:color w:val="auto"/>
                <w:lang w:val="en-US" w:eastAsia="zh-CN"/>
              </w:rPr>
              <w:t>2</w:t>
            </w:r>
            <w:r>
              <w:rPr>
                <w:rFonts w:hint="eastAsia" w:ascii="宋体" w:hAnsi="宋体" w:eastAsia="宋体" w:cs="宋体"/>
                <w:color w:val="auto"/>
              </w:rPr>
              <w:t>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auto"/>
                <w:lang w:eastAsia="zh-CN"/>
              </w:rPr>
              <w:t>（</w:t>
            </w:r>
            <w:r>
              <w:rPr>
                <w:rFonts w:hint="eastAsia"/>
                <w:color w:val="auto"/>
                <w:lang w:val="en-US" w:eastAsia="zh-CN"/>
              </w:rPr>
              <w:t>2</w:t>
            </w:r>
            <w:r>
              <w:rPr>
                <w:rFonts w:hint="eastAsia"/>
                <w:color w:val="auto"/>
                <w:lang w:eastAsia="zh-CN"/>
              </w:rPr>
              <w:t>）未按规定制定</w:t>
            </w:r>
            <w:r>
              <w:rPr>
                <w:rFonts w:hint="eastAsia" w:ascii="宋体" w:hAnsi="宋体" w:eastAsia="宋体" w:cs="宋体"/>
                <w:i w:val="0"/>
                <w:iCs w:val="0"/>
                <w:color w:val="auto"/>
                <w:kern w:val="0"/>
                <w:sz w:val="21"/>
                <w:szCs w:val="21"/>
                <w:u w:val="none"/>
                <w:lang w:val="en-US" w:eastAsia="zh-CN" w:bidi="ar"/>
              </w:rPr>
              <w:t>消防安全管理制度，扣2分</w:t>
            </w:r>
            <w:r>
              <w:rPr>
                <w:rFonts w:hint="eastAsia" w:ascii="宋体" w:hAnsi="宋体" w:cs="宋体"/>
                <w:i w:val="0"/>
                <w:iCs w:val="0"/>
                <w:color w:val="auto"/>
                <w:kern w:val="0"/>
                <w:sz w:val="21"/>
                <w:szCs w:val="21"/>
                <w:u w:val="none"/>
                <w:lang w:val="en-US" w:eastAsia="zh-CN" w:bidi="ar"/>
              </w:rPr>
              <w:t>；</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color w:val="000000"/>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color w:val="000000"/>
                <w:lang w:val="en-US" w:eastAsia="zh-CN"/>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r>
              <w:rPr>
                <w:rFonts w:hint="eastAsia"/>
                <w:color w:val="auto"/>
              </w:rPr>
              <w:t>（</w:t>
            </w:r>
            <w:r>
              <w:rPr>
                <w:rFonts w:hint="eastAsia"/>
                <w:color w:val="auto"/>
                <w:lang w:val="en-US" w:eastAsia="zh-CN"/>
              </w:rPr>
              <w:t>3</w:t>
            </w:r>
            <w:r>
              <w:rPr>
                <w:rFonts w:hint="eastAsia"/>
                <w:color w:val="auto"/>
              </w:rPr>
              <w:t>）</w:t>
            </w:r>
            <w:r>
              <w:rPr>
                <w:rFonts w:hint="eastAsia" w:ascii="宋体" w:hAnsi="宋体" w:eastAsia="宋体" w:cs="宋体"/>
              </w:rPr>
              <w:t>未按规定开展消防安全知识培训，扣2分；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r>
              <w:rPr>
                <w:rFonts w:hint="eastAsia"/>
                <w:color w:val="auto"/>
              </w:rPr>
              <w:t>（</w:t>
            </w:r>
            <w:r>
              <w:rPr>
                <w:rFonts w:hint="eastAsia"/>
                <w:color w:val="auto"/>
                <w:lang w:val="en-US" w:eastAsia="zh-CN"/>
              </w:rPr>
              <w:t>4</w:t>
            </w:r>
            <w:r>
              <w:rPr>
                <w:rFonts w:hint="eastAsia"/>
                <w:color w:val="auto"/>
              </w:rPr>
              <w:t>）</w:t>
            </w:r>
            <w:r>
              <w:rPr>
                <w:rFonts w:hint="eastAsia"/>
                <w:color w:val="auto"/>
                <w:lang w:eastAsia="zh-CN"/>
              </w:rPr>
              <w:t>未定期开展</w:t>
            </w:r>
            <w:r>
              <w:rPr>
                <w:rFonts w:hint="eastAsia" w:ascii="宋体" w:hAnsi="宋体" w:eastAsia="宋体" w:cs="宋体"/>
              </w:rPr>
              <w:t>消防安全</w:t>
            </w:r>
            <w:r>
              <w:rPr>
                <w:rFonts w:hint="eastAsia" w:ascii="宋体" w:hAnsi="宋体" w:cs="宋体"/>
                <w:lang w:eastAsia="zh-CN"/>
              </w:rPr>
              <w:t>演练</w:t>
            </w:r>
            <w:r>
              <w:rPr>
                <w:rFonts w:hint="eastAsia" w:ascii="宋体" w:hAnsi="宋体" w:eastAsia="宋体" w:cs="宋体"/>
              </w:rPr>
              <w:t>，扣2分；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rPr>
            </w:pPr>
            <w:r>
              <w:rPr>
                <w:rFonts w:hint="eastAsia"/>
                <w:color w:val="auto"/>
                <w:lang w:val="en-US" w:eastAsia="zh-CN"/>
              </w:rPr>
              <w:t>（5）</w:t>
            </w:r>
            <w:r>
              <w:rPr>
                <w:rFonts w:hint="eastAsia" w:ascii="宋体" w:hAnsi="宋体" w:eastAsia="宋体" w:cs="宋体"/>
                <w:lang w:val="en-US" w:eastAsia="zh-CN"/>
              </w:rPr>
              <w:t>未定期检查并维护消</w:t>
            </w:r>
            <w:r>
              <w:rPr>
                <w:rFonts w:hint="eastAsia" w:ascii="宋体" w:hAnsi="宋体" w:eastAsia="宋体" w:cs="宋体"/>
              </w:rPr>
              <w:t>防设施、器材，扣</w:t>
            </w:r>
            <w:r>
              <w:rPr>
                <w:rFonts w:hint="eastAsia" w:ascii="宋体" w:hAnsi="宋体" w:eastAsia="宋体" w:cs="宋体"/>
                <w:lang w:val="en-US" w:eastAsia="zh-CN"/>
              </w:rPr>
              <w:t>2</w:t>
            </w:r>
            <w:r>
              <w:rPr>
                <w:rFonts w:hint="eastAsia" w:ascii="宋体" w:hAnsi="宋体" w:eastAsia="宋体" w:cs="宋体"/>
              </w:rPr>
              <w:t>分；</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color w:val="000000"/>
                <w:lang w:eastAsia="zh-CN"/>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8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90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19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center"/>
              <w:textAlignment w:val="center"/>
              <w:rPr>
                <w:rFonts w:hint="eastAsia" w:ascii="宋体" w:hAnsi="宋体" w:eastAsia="宋体" w:cs="宋体"/>
              </w:rPr>
            </w:pPr>
          </w:p>
        </w:tc>
        <w:tc>
          <w:tcPr>
            <w:tcW w:w="7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color w:val="auto"/>
                <w:lang w:val="en-US" w:eastAsia="zh-CN"/>
              </w:rPr>
            </w:pPr>
            <w:r>
              <w:rPr>
                <w:rFonts w:hint="eastAsia" w:ascii="宋体" w:hAnsi="宋体" w:eastAsia="宋体" w:cs="宋体"/>
                <w:lang w:val="en-US" w:eastAsia="zh-CN"/>
              </w:rPr>
              <w:t>（6）</w:t>
            </w:r>
            <w:r>
              <w:rPr>
                <w:rFonts w:hint="eastAsia" w:ascii="宋体" w:hAnsi="宋体" w:eastAsia="宋体" w:cs="宋体"/>
                <w:i w:val="0"/>
                <w:iCs w:val="0"/>
                <w:color w:val="auto"/>
                <w:kern w:val="0"/>
                <w:sz w:val="21"/>
                <w:szCs w:val="21"/>
                <w:u w:val="none"/>
                <w:lang w:val="en-US" w:eastAsia="zh-CN" w:bidi="ar"/>
              </w:rPr>
              <w:t>占用、堵塞、封闭疏散通道、安全出口、消防车通道妨碍通行或者有其他妨碍安全疏散行为，扣</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w:t>
            </w:r>
          </w:p>
        </w:tc>
        <w:tc>
          <w:tcPr>
            <w:tcW w:w="13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color w:val="000000"/>
                <w:lang w:eastAsia="zh-CN"/>
              </w:rPr>
            </w:pPr>
          </w:p>
        </w:tc>
        <w:tc>
          <w:tcPr>
            <w:tcW w:w="204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auto"/>
              <w:ind w:left="105" w:leftChars="50" w:right="105" w:rightChars="50"/>
              <w:jc w:val="left"/>
              <w:textAlignment w:val="center"/>
              <w:rPr>
                <w:rFonts w:hint="eastAsia" w:ascii="宋体" w:hAnsi="宋体" w:eastAsia="宋体" w:cs="宋体"/>
                <w:color w:val="000000"/>
                <w:lang w:eastAsia="zh-CN"/>
              </w:rPr>
            </w:pPr>
          </w:p>
        </w:tc>
      </w:tr>
    </w:tbl>
    <w:p/>
    <w:p>
      <w:pPr>
        <w:rPr>
          <w:rFonts w:hint="eastAsia"/>
        </w:rPr>
      </w:pPr>
    </w:p>
    <w:p>
      <w:pPr>
        <w:rPr>
          <w:rFonts w:hint="eastAsia"/>
        </w:rPr>
      </w:pPr>
    </w:p>
    <w:p>
      <w:pPr>
        <w:rPr>
          <w:rFonts w:hint="eastAsia"/>
        </w:rPr>
      </w:pPr>
    </w:p>
    <w:p>
      <w:pPr>
        <w:rPr>
          <w:rFonts w:hint="eastAsia"/>
        </w:rPr>
      </w:pPr>
      <w:r>
        <w:rPr>
          <w:rFonts w:hint="eastAsia"/>
        </w:rPr>
        <w:t>备注：</w:t>
      </w:r>
    </w:p>
    <w:p>
      <w:pPr>
        <w:rPr>
          <w:rFonts w:hint="eastAsia"/>
        </w:rPr>
      </w:pPr>
      <w:r>
        <w:rPr>
          <w:rFonts w:hint="eastAsia"/>
        </w:rPr>
        <w:t>1.评分标准：信用评价实行评分制，评价等级分为A级（优秀）、B级（良好）、C级（合格）、D级（不合格）四个等级。考核评价分值90分</w:t>
      </w:r>
      <w:r>
        <w:rPr>
          <w:rFonts w:hint="eastAsia"/>
          <w:lang w:val="en-US" w:eastAsia="zh-CN"/>
        </w:rPr>
        <w:t>-100分</w:t>
      </w:r>
      <w:r>
        <w:rPr>
          <w:rFonts w:hint="eastAsia"/>
        </w:rPr>
        <w:t>为A级（优秀），80分-89分为B级（良好）、60分-79分为C级（合格）、59分以下为D级（不合格）。</w:t>
      </w:r>
    </w:p>
    <w:p>
      <w:r>
        <w:rPr>
          <w:rFonts w:hint="eastAsia"/>
        </w:rPr>
        <w:t>2.合理缺项：如法律法规或行政管理上未要求参评单位开展的评价项目，经核实该项目可不做评价。</w:t>
      </w:r>
    </w:p>
    <w:p/>
    <w:p/>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Arial Unicode MS">
    <w:altName w:val="Nimbus Roman No9 L"/>
    <w:panose1 w:val="020B0604020202020204"/>
    <w:charset w:val="00"/>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EA45C"/>
    <w:rsid w:val="7DDEA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99"/>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2024-08-02T15:48:00Z</dcterms:created>
  <dc:creator>user</dc:creator>
  <cp:lastModifiedBy>user</cp:lastModifiedBy>
  <dcterms:modified xsi:type="dcterms:W3CDTF">2024-08-02T15:49:23Z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