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三亚市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会展业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岛外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推介会外包服务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项目招标评分表</w:t>
      </w:r>
    </w:p>
    <w:tbl>
      <w:tblPr>
        <w:tblStyle w:val="6"/>
        <w:tblpPr w:leftFromText="180" w:rightFromText="180" w:vertAnchor="page" w:horzAnchor="page" w:tblpX="1649" w:tblpY="28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169"/>
        <w:gridCol w:w="7593"/>
        <w:gridCol w:w="1062"/>
        <w:gridCol w:w="1115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评分项目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分值</w:t>
            </w:r>
          </w:p>
        </w:tc>
        <w:tc>
          <w:tcPr>
            <w:tcW w:w="7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评分参考范围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相关案例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759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供应商每提供1份同类项目业绩，得3分，最高得分15分。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注：提供项目合同关键页复印件，合同关键页需体现项目内容、采购单位等的关键信息，如提供的业绩合同不能清晰体现为同类项目的，则不得分。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项目理解与分析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7593" w:type="dxa"/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供应商应结合本项目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项目背景、服务要求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等内容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对本项目的实施目标进行理解与分析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并提出具有可行性的项目执行建议，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包括但不限于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（1）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对项目目标的理解；（2）本项目的重点难点分析及合理化建议。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评审小组根据供应商提供的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项目需求的理解与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调研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分析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进行综合评价，本项最高得10分，理解与分析中包含以上要求满足的全部内容，且上述内容完整、条理清晰，针对实际情况，考虑问题周全的得满分10分。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每缺失1项内容扣5分；每有1项内容存在1处缺陷(缺陷是指方案内容不符合项目实际要求、 描述不详细、缺乏针对性、缺乏可操作性、不合理、内容缺少关键节点、前后相互矛盾、存在无法实现预期目标的风险等)扣1分。本项最低分为 0 分。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服务实施方案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30分</w:t>
            </w:r>
          </w:p>
        </w:tc>
        <w:tc>
          <w:tcPr>
            <w:tcW w:w="7593" w:type="dxa"/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供应商应结合本会展业招商推介会的工作等内容提供有针对性、科学、合理的服务实施方案，包括但不限于：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（1）项目进度、行程规划；（2）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活动现场布置方案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；（3）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活动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期间住宿及用餐接待方案；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（4）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组成员的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架构及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分工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规划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方案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；（5）宣传方案；（6）行业资源投入与应用。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评审小组根据供应商提供的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服务实施方案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进行综合评价，本项最高得30分，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服务实施方案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包含以上要求并满足要求的全部内容，且内容完整、条理清晰，针对实际情况，考虑问题周全的得满分30分。 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每缺失1项内容扣6分；每有1项内容存在1处缺陷(缺陷是指方案内容不符合项目实际要求、 描述不详细、缺乏针对性、缺乏可操作性、不合理、内容缺少关键节点、前后相互矛盾、存在无法实现预期目标的风险等)扣1分。本项最低分为 0 分。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20" w:type="dxa"/>
            <w:noWrap w:val="0"/>
            <w:vAlign w:val="center"/>
          </w:tcPr>
          <w:p>
            <w:pPr>
              <w:pStyle w:val="8"/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质量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保障方案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20分</w:t>
            </w:r>
          </w:p>
        </w:tc>
        <w:tc>
          <w:tcPr>
            <w:tcW w:w="75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供应商应结合本项目的项目目标和工作服务要求提供有针对性、科学、合理的服务质量保障方案，包括但不限于（1）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应急保障方案、（2）服务质量监测方案、（3）保密管理方案、（4）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服务质量提升措施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评审小组根据供应商提供的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质量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保障方案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进行综合评价，本项最高得20分，理解与分析中包含以上要求满足的全部内容，且上述内容完整、条理清晰，针对实际情况，考虑问题周全的得满分20分。 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每缺失1项内容扣5分；每有1项内容存在1处缺陷(缺陷是指方案内容不符合项目实际要求、 描述不详细、缺乏针对性、缺乏可操作性、不合理、内容缺少关键节点、前后相互矛盾、存在无法实现预期目标的风险等)扣1分。本项最低分为 0 分。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报价金额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7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价格分统一采用低价优先法计算，即报价最低的合格供应商的报价为评审基准价，其价格分为满分。其他供应商的价格分统一按照下列公式计算：报价得分=(评审基准价／报价)×25%×100。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28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合计总分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28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评审人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D3287"/>
    <w:multiLevelType w:val="multilevel"/>
    <w:tmpl w:val="1F7D3287"/>
    <w:lvl w:ilvl="0" w:tentative="0">
      <w:start w:val="1"/>
      <w:numFmt w:val="decimal"/>
      <w:lvlText w:val="第%1章"/>
      <w:lvlJc w:val="left"/>
      <w:pPr>
        <w:tabs>
          <w:tab w:val="left" w:pos="425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44"/>
        <w:u w:val="none"/>
        <w:vertAlign w:val="baseline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425"/>
        </w:tabs>
        <w:ind w:left="0" w:firstLine="0"/>
      </w:pPr>
      <w:rPr>
        <w:rFonts w:hint="eastAsia"/>
        <w:b w:val="0"/>
        <w:i w:val="0"/>
        <w:color w:val="000000"/>
      </w:rPr>
    </w:lvl>
    <w:lvl w:ilvl="2" w:tentative="0">
      <w:start w:val="1"/>
      <w:numFmt w:val="decimal"/>
      <w:pStyle w:val="3"/>
      <w:isLgl/>
      <w:lvlText w:val="%1.%2.%3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425"/>
        </w:tabs>
        <w:ind w:left="0" w:firstLine="0"/>
      </w:pPr>
      <w:rPr>
        <w:rFonts w:hint="eastAsia"/>
        <w:b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425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BE04C"/>
    <w:rsid w:val="1AFB09F7"/>
    <w:rsid w:val="1EDEB1B6"/>
    <w:rsid w:val="3BABE76A"/>
    <w:rsid w:val="3EAB0813"/>
    <w:rsid w:val="3FD40BC0"/>
    <w:rsid w:val="57AEBCC3"/>
    <w:rsid w:val="5E1FC058"/>
    <w:rsid w:val="5EFF2DBD"/>
    <w:rsid w:val="6B7F6619"/>
    <w:rsid w:val="76FF8E51"/>
    <w:rsid w:val="792F4741"/>
    <w:rsid w:val="79E93DE2"/>
    <w:rsid w:val="7B7B3ACD"/>
    <w:rsid w:val="7F2F82C4"/>
    <w:rsid w:val="7FBB342F"/>
    <w:rsid w:val="7FE7066F"/>
    <w:rsid w:val="7FF84795"/>
    <w:rsid w:val="9FBEBCFF"/>
    <w:rsid w:val="9FDF6175"/>
    <w:rsid w:val="9FFBCDA0"/>
    <w:rsid w:val="A3CF08CD"/>
    <w:rsid w:val="BDFFD12A"/>
    <w:rsid w:val="CF7F64B3"/>
    <w:rsid w:val="D8DF2F8B"/>
    <w:rsid w:val="DDF72955"/>
    <w:rsid w:val="EF7DBA4F"/>
    <w:rsid w:val="F7FDBD5B"/>
    <w:rsid w:val="F94A8443"/>
    <w:rsid w:val="FB35C14F"/>
    <w:rsid w:val="FFEE1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qFormat/>
    <w:uiPriority w:val="0"/>
    <w:pPr>
      <w:keepNext/>
      <w:keepLines/>
      <w:tabs>
        <w:tab w:val="left" w:pos="560"/>
      </w:tabs>
      <w:spacing w:before="260" w:after="260" w:line="415" w:lineRule="auto"/>
      <w:jc w:val="center"/>
      <w:outlineLvl w:val="1"/>
    </w:pPr>
    <w:rPr>
      <w:rFonts w:ascii="Arial" w:hAnsi="Arial" w:eastAsia="黑体"/>
      <w:b/>
      <w:bCs w:val="0"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tabs>
        <w:tab w:val="left" w:pos="560"/>
        <w:tab w:val="clear" w:pos="425"/>
      </w:tabs>
      <w:spacing w:before="240" w:after="120" w:line="240" w:lineRule="auto"/>
      <w:outlineLvl w:val="2"/>
    </w:pPr>
    <w:rPr>
      <w:rFonts w:eastAsia="黑体"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0"/>
    <w:pPr>
      <w:spacing w:line="240" w:lineRule="auto"/>
      <w:jc w:val="both"/>
      <w:textAlignment w:val="baseline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无间隔1"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272</Words>
  <Characters>284</Characters>
  <Lines>0</Lines>
  <Paragraphs>0</Paragraphs>
  <TotalTime>14</TotalTime>
  <ScaleCrop>false</ScaleCrop>
  <LinksUpToDate>false</LinksUpToDate>
  <CharactersWithSpaces>284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user</cp:lastModifiedBy>
  <cp:lastPrinted>2024-09-19T10:02:00Z</cp:lastPrinted>
  <dcterms:modified xsi:type="dcterms:W3CDTF">2025-07-15T16:33:36Z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eyJoZGlkIjoiNTA1OTAyN2I3YTU0MjJlNjJlNTk5MWE4MjU2MTJjNWYiLCJ1c2VySWQiOiIzMTE2MzUyNDcifQ==</vt:lpwstr>
  </property>
  <property fmtid="{D5CDD505-2E9C-101B-9397-08002B2CF9AE}" pid="4" name="ICV">
    <vt:lpwstr>828241A688B540CA8B819E030EDDAD6D_12</vt:lpwstr>
  </property>
</Properties>
</file>