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附件</w:t>
      </w: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default" w:ascii="Nimbus Roman No9 L" w:hAnsi="Nimbus Roman No9 L" w:cs="Nimbus Roman No9 L"/>
          <w:color w:val="auto"/>
          <w:sz w:val="21"/>
          <w:szCs w:val="24"/>
        </w:rPr>
      </w:pPr>
      <w:bookmarkStart w:id="0" w:name="_Toc259090997"/>
      <w:bookmarkStart w:id="1" w:name="_Toc413881186"/>
      <w:bookmarkStart w:id="2" w:name="_Toc92602866"/>
      <w:bookmarkStart w:id="3" w:name="_Toc276645593"/>
      <w:r>
        <w:rPr>
          <w:rFonts w:hint="default" w:ascii="Nimbus Roman No9 L" w:hAnsi="Nimbus Roman No9 L" w:eastAsia="方正小标宋_GBK" w:cs="Nimbus Roman No9 L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报价表</w:t>
      </w:r>
      <w:bookmarkEnd w:id="0"/>
      <w:bookmarkEnd w:id="1"/>
      <w:bookmarkEnd w:id="2"/>
      <w:bookmarkEnd w:id="3"/>
    </w:p>
    <w:p>
      <w:pPr>
        <w:spacing w:line="360" w:lineRule="exact"/>
        <w:rPr>
          <w:rFonts w:hint="default" w:ascii="Nimbus Roman No9 L" w:hAnsi="Nimbus Roman No9 L" w:eastAsia="仿宋_GB2312" w:cs="Nimbus Roman No9 L"/>
          <w:b/>
          <w:color w:val="auto"/>
          <w:sz w:val="24"/>
          <w:szCs w:val="24"/>
          <w:u w:val="single"/>
        </w:rPr>
      </w:pPr>
      <w:r>
        <w:rPr>
          <w:rFonts w:hint="default" w:ascii="Nimbus Roman No9 L" w:hAnsi="Nimbus Roman No9 L" w:eastAsia="仿宋_GB2312" w:cs="Nimbus Roman No9 L"/>
          <w:b/>
          <w:bCs w:val="0"/>
          <w:color w:val="auto"/>
          <w:sz w:val="24"/>
          <w:szCs w:val="24"/>
        </w:rPr>
        <w:t>项目名称：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u w:val="single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kern w:val="2"/>
          <w:sz w:val="24"/>
          <w:szCs w:val="24"/>
          <w:u w:val="single"/>
          <w:lang w:val="en-US" w:eastAsia="zh-CN" w:bidi="ar-SA"/>
        </w:rPr>
        <w:t>2024年三亚市互联网购车节活动执行服务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</w:rPr>
        <w:t xml:space="preserve">     </w:t>
      </w: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tbl>
      <w:tblPr>
        <w:tblStyle w:val="3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320"/>
        <w:gridCol w:w="216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服务期限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  <w:t>2024年三亚市互联网购车节活动执行服务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大写：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小写：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7998"/>
    <w:rsid w:val="6BF93384"/>
    <w:rsid w:val="7CFECA9B"/>
    <w:rsid w:val="7EE97998"/>
    <w:rsid w:val="FFFFA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2024-09-04T16:08:00Z</dcterms:created>
  <dc:creator>user</dc:creator>
  <cp:lastModifiedBy>user</cp:lastModifiedBy>
  <dcterms:modified xsi:type="dcterms:W3CDTF">2024-10-15T15:44:13Z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