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80" w:lineRule="exact"/>
        <w:jc w:val="both"/>
        <w:textAlignment w:val="auto"/>
        <w:rPr>
          <w:rFonts w:hint="eastAsia" w:ascii="黑体" w:hAnsi="黑体" w:eastAsia="黑体" w:cs="黑体"/>
          <w:color w:val="auto"/>
          <w:sz w:val="32"/>
          <w:szCs w:val="32"/>
          <w:u w:val="none"/>
          <w:lang w:eastAsia="zh-CN"/>
        </w:rPr>
      </w:pPr>
      <w:r>
        <w:rPr>
          <w:rFonts w:hint="eastAsia" w:ascii="黑体" w:hAnsi="黑体" w:eastAsia="黑体" w:cs="黑体"/>
          <w:color w:val="auto"/>
          <w:sz w:val="32"/>
          <w:szCs w:val="32"/>
          <w:u w:val="none"/>
          <w:lang w:eastAsia="zh-CN"/>
        </w:rPr>
        <w:t>附件</w:t>
      </w: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Times New Roman" w:hAnsi="Times New Roman" w:eastAsia="方正小标宋简体" w:cs="Times New Roman"/>
          <w:color w:val="auto"/>
          <w:sz w:val="44"/>
          <w:szCs w:val="44"/>
          <w:u w:val="none"/>
          <w:lang w:eastAsia="zh-CN"/>
        </w:rPr>
      </w:pPr>
      <w:bookmarkStart w:id="0" w:name="_GoBack"/>
      <w:r>
        <w:rPr>
          <w:rFonts w:hint="eastAsia" w:ascii="Times New Roman" w:hAnsi="Times New Roman" w:eastAsia="方正小标宋简体" w:cs="Times New Roman"/>
          <w:color w:val="auto"/>
          <w:sz w:val="44"/>
          <w:szCs w:val="44"/>
          <w:u w:val="none"/>
          <w:lang w:eastAsia="zh-CN"/>
        </w:rPr>
        <w:t>三亚市商务局</w:t>
      </w: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方正小标宋简体" w:hAnsi="方正小标宋简体" w:eastAsia="方正小标宋简体" w:cs="方正小标宋简体"/>
          <w:color w:val="auto"/>
          <w:sz w:val="44"/>
          <w:szCs w:val="44"/>
          <w:u w:val="none"/>
          <w:lang w:val="en-US" w:eastAsia="zh-CN"/>
        </w:rPr>
      </w:pPr>
      <w:r>
        <w:rPr>
          <w:rFonts w:hint="eastAsia" w:ascii="Times New Roman" w:hAnsi="Times New Roman" w:eastAsia="方正小标宋简体" w:cs="Times New Roman"/>
          <w:color w:val="auto"/>
          <w:sz w:val="44"/>
          <w:szCs w:val="44"/>
          <w:u w:val="none"/>
          <w:lang w:eastAsia="zh-CN"/>
        </w:rPr>
        <w:t>关于落实</w:t>
      </w:r>
      <w:r>
        <w:rPr>
          <w:rFonts w:hint="eastAsia" w:ascii="方正小标宋简体" w:hAnsi="方正小标宋简体" w:eastAsia="方正小标宋简体" w:cs="方正小标宋简体"/>
          <w:color w:val="auto"/>
          <w:sz w:val="44"/>
          <w:szCs w:val="44"/>
          <w:u w:val="none"/>
          <w:lang w:val="en-US" w:eastAsia="zh-CN"/>
        </w:rPr>
        <w:t>海南省第三生态环境保护督察组</w:t>
      </w: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督察报告整改方案第</w:t>
      </w:r>
      <w:r>
        <w:rPr>
          <w:rFonts w:hint="eastAsia" w:ascii="Times New Roman" w:hAnsi="Times New Roman" w:eastAsia="仿宋_GB2312" w:cs="Times New Roman"/>
          <w:color w:val="auto"/>
          <w:sz w:val="44"/>
          <w:szCs w:val="44"/>
          <w:u w:val="none"/>
          <w:lang w:val="en-US" w:eastAsia="zh-CN"/>
        </w:rPr>
        <w:t>9</w:t>
      </w:r>
      <w:r>
        <w:rPr>
          <w:rFonts w:hint="default" w:ascii="Times New Roman" w:hAnsi="Times New Roman" w:eastAsia="仿宋_GB2312" w:cs="Times New Roman"/>
          <w:color w:val="auto"/>
          <w:sz w:val="44"/>
          <w:szCs w:val="44"/>
          <w:u w:val="none"/>
          <w:lang w:val="en" w:eastAsia="zh-CN"/>
        </w:rPr>
        <w:t>2</w:t>
      </w:r>
      <w:r>
        <w:rPr>
          <w:rFonts w:hint="eastAsia" w:ascii="方正小标宋简体" w:hAnsi="方正小标宋简体" w:eastAsia="方正小标宋简体" w:cs="方正小标宋简体"/>
          <w:color w:val="auto"/>
          <w:sz w:val="44"/>
          <w:szCs w:val="44"/>
          <w:u w:val="none"/>
          <w:lang w:val="en-US" w:eastAsia="zh-CN"/>
        </w:rPr>
        <w:t>号</w:t>
      </w: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rPr>
        <w:t>整改完成情况公示表</w:t>
      </w:r>
    </w:p>
    <w:bookmarkEnd w:id="0"/>
    <w:tbl>
      <w:tblPr>
        <w:tblStyle w:val="4"/>
        <w:tblpPr w:leftFromText="180" w:rightFromText="180" w:vertAnchor="text" w:horzAnchor="page" w:tblpX="1547" w:tblpY="174"/>
        <w:tblOverlap w:val="never"/>
        <w:tblW w:w="87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92"/>
        <w:gridCol w:w="62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249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整改措施</w:t>
            </w:r>
          </w:p>
        </w:tc>
        <w:tc>
          <w:tcPr>
            <w:tcW w:w="622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eastAsia" w:ascii="仿宋_GB2312" w:hAnsi="仿宋_GB2312" w:eastAsia="仿宋_GB2312" w:cs="仿宋_GB2312"/>
                <w:sz w:val="28"/>
                <w:szCs w:val="28"/>
                <w:lang w:val="en-US" w:eastAsia="zh-CN"/>
              </w:rPr>
            </w:pPr>
            <w:r>
              <w:rPr>
                <w:rFonts w:eastAsia="仿宋_GB2312"/>
                <w:color w:val="auto"/>
                <w:sz w:val="28"/>
                <w:szCs w:val="28"/>
                <w:u w:val="none"/>
              </w:rPr>
              <w:t>措施序号（</w:t>
            </w:r>
            <w:r>
              <w:rPr>
                <w:rFonts w:hint="eastAsia" w:ascii="Times New Roman" w:hAnsi="Times New Roman" w:eastAsia="仿宋_GB2312" w:cs="Times New Roman"/>
                <w:color w:val="auto"/>
                <w:sz w:val="28"/>
                <w:szCs w:val="28"/>
                <w:lang w:val="en-US" w:eastAsia="zh-CN"/>
              </w:rPr>
              <w:t>92</w:t>
            </w:r>
            <w:r>
              <w:rPr>
                <w:rFonts w:eastAsia="仿宋_GB2312"/>
                <w:color w:val="auto"/>
                <w:sz w:val="28"/>
                <w:szCs w:val="28"/>
                <w:u w:val="none"/>
              </w:rPr>
              <w:t>）：</w:t>
            </w:r>
            <w:r>
              <w:rPr>
                <w:rFonts w:hint="eastAsia" w:eastAsia="仿宋_GB2312"/>
                <w:color w:val="auto"/>
                <w:sz w:val="28"/>
                <w:szCs w:val="28"/>
                <w:u w:val="none"/>
                <w:lang w:val="en-US" w:eastAsia="zh-CN"/>
              </w:rPr>
              <w:t>在三亚循环经济产业园内规范建设汽车拆解项目并投入运营。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49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整改牵头单位</w:t>
            </w:r>
          </w:p>
        </w:tc>
        <w:tc>
          <w:tcPr>
            <w:tcW w:w="622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仿宋_GB2312" w:hAnsi="仿宋_GB2312" w:eastAsia="仿宋_GB2312" w:cs="仿宋_GB2312"/>
                <w:sz w:val="28"/>
                <w:szCs w:val="28"/>
                <w:lang w:val="en-US" w:eastAsia="zh-CN"/>
              </w:rPr>
            </w:pPr>
            <w:r>
              <w:rPr>
                <w:rFonts w:hint="eastAsia" w:ascii="Times New Roman" w:hAnsi="Times New Roman" w:eastAsia="仿宋_GB2312" w:cs="Times New Roman"/>
                <w:color w:val="auto"/>
                <w:sz w:val="28"/>
                <w:szCs w:val="28"/>
                <w:u w:val="none"/>
                <w:lang w:val="en-US" w:eastAsia="zh-CN"/>
              </w:rPr>
              <w:t>三亚市商务局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49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整改时限</w:t>
            </w:r>
          </w:p>
        </w:tc>
        <w:tc>
          <w:tcPr>
            <w:tcW w:w="622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仿宋_GB2312" w:hAnsi="仿宋_GB2312" w:eastAsia="仿宋_GB2312" w:cs="仿宋_GB2312"/>
                <w:sz w:val="28"/>
                <w:szCs w:val="28"/>
                <w:lang w:val="en-US" w:eastAsia="zh-CN"/>
              </w:rPr>
            </w:pPr>
            <w:r>
              <w:rPr>
                <w:rFonts w:hint="eastAsia" w:ascii="Times New Roman" w:hAnsi="Times New Roman" w:eastAsia="仿宋_GB2312" w:cs="Times New Roman"/>
                <w:color w:val="auto"/>
                <w:sz w:val="28"/>
                <w:szCs w:val="28"/>
                <w:u w:val="none"/>
                <w:lang w:val="en-US" w:eastAsia="zh-CN"/>
              </w:rPr>
              <w:t>2024年</w:t>
            </w:r>
            <w:r>
              <w:rPr>
                <w:rFonts w:hint="default" w:ascii="Times New Roman" w:hAnsi="Times New Roman" w:eastAsia="仿宋_GB2312" w:cs="Times New Roman"/>
                <w:color w:val="auto"/>
                <w:sz w:val="28"/>
                <w:szCs w:val="28"/>
                <w:u w:val="none"/>
                <w:lang w:val="en" w:eastAsia="zh-CN"/>
              </w:rPr>
              <w:t>8</w:t>
            </w:r>
            <w:r>
              <w:rPr>
                <w:rFonts w:hint="eastAsia" w:ascii="Times New Roman" w:hAnsi="Times New Roman" w:eastAsia="仿宋_GB2312" w:cs="Times New Roman"/>
                <w:color w:val="auto"/>
                <w:sz w:val="28"/>
                <w:szCs w:val="28"/>
                <w:u w:val="none"/>
                <w:lang w:val="en-US" w:eastAsia="zh-CN"/>
              </w:rPr>
              <w:t>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249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联系人及电话</w:t>
            </w:r>
          </w:p>
        </w:tc>
        <w:tc>
          <w:tcPr>
            <w:tcW w:w="622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仿宋_GB2312" w:hAnsi="仿宋_GB2312" w:eastAsia="仿宋_GB2312" w:cs="仿宋_GB2312"/>
                <w:sz w:val="28"/>
                <w:szCs w:val="28"/>
                <w:lang w:val="en-US" w:eastAsia="zh-CN"/>
              </w:rPr>
            </w:pPr>
            <w:r>
              <w:rPr>
                <w:rFonts w:hint="eastAsia" w:ascii="Times New Roman" w:hAnsi="Times New Roman" w:eastAsia="仿宋_GB2312" w:cs="Times New Roman"/>
                <w:color w:val="auto"/>
                <w:sz w:val="28"/>
                <w:szCs w:val="28"/>
                <w:u w:val="none"/>
                <w:lang w:eastAsia="zh-CN"/>
              </w:rPr>
              <w:t>郑狄</w:t>
            </w:r>
            <w:r>
              <w:rPr>
                <w:rFonts w:hint="eastAsia" w:ascii="Times New Roman" w:hAnsi="Times New Roman" w:eastAsia="仿宋_GB2312" w:cs="Times New Roman"/>
                <w:color w:val="auto"/>
                <w:sz w:val="28"/>
                <w:szCs w:val="28"/>
                <w:u w:val="none"/>
                <w:lang w:val="en-US" w:eastAsia="zh-CN"/>
              </w:rPr>
              <w:t xml:space="preserve">   0898-88279111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3" w:hRule="atLeast"/>
        </w:trPr>
        <w:tc>
          <w:tcPr>
            <w:tcW w:w="249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整改完成情况</w:t>
            </w:r>
          </w:p>
        </w:tc>
        <w:tc>
          <w:tcPr>
            <w:tcW w:w="622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eastAsia" w:ascii="仿宋_GB2312" w:hAnsi="仿宋_GB2312" w:eastAsia="仿宋_GB2312" w:cs="仿宋_GB2312"/>
                <w:sz w:val="28"/>
                <w:szCs w:val="28"/>
                <w:lang w:val="en-US" w:eastAsia="zh-CN"/>
              </w:rPr>
            </w:pPr>
            <w:r>
              <w:rPr>
                <w:rFonts w:hint="eastAsia" w:ascii="Times New Roman" w:hAnsi="Times New Roman" w:eastAsia="仿宋_GB2312" w:cs="Times New Roman"/>
                <w:color w:val="auto"/>
                <w:sz w:val="28"/>
                <w:szCs w:val="28"/>
                <w:lang w:val="en-US" w:eastAsia="zh-CN"/>
              </w:rPr>
              <w:t>2024年11月4日下午，我局冯栎伊副局长带队到三亚废旧交通工具拆解与利用中心项目现场进行验收。经验收，该项目由三亚生环再生资源回收有限责任公司进行建设运营，该公司于2024年10月24日取得报废机动车回收拆解企业资质认定证书，已进行运营并开展相关业务。同意通过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249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验收意见</w:t>
            </w:r>
          </w:p>
        </w:tc>
        <w:tc>
          <w:tcPr>
            <w:tcW w:w="622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验收合格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0" w:hRule="atLeast"/>
        </w:trPr>
        <w:tc>
          <w:tcPr>
            <w:tcW w:w="2492"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工作成效</w:t>
            </w:r>
          </w:p>
        </w:tc>
        <w:tc>
          <w:tcPr>
            <w:tcW w:w="622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580" w:lineRule="exact"/>
              <w:jc w:val="left"/>
              <w:textAlignment w:val="auto"/>
              <w:rPr>
                <w:rFonts w:hint="eastAsia" w:ascii="仿宋_GB2312" w:hAnsi="仿宋_GB2312" w:eastAsia="仿宋_GB2312" w:cs="仿宋_GB2312"/>
                <w:sz w:val="28"/>
                <w:szCs w:val="28"/>
                <w:lang w:val="en-US" w:eastAsia="zh-CN"/>
              </w:rPr>
            </w:pPr>
            <w:r>
              <w:rPr>
                <w:rFonts w:hint="eastAsia" w:ascii="Times New Roman" w:hAnsi="Times New Roman" w:eastAsia="仿宋_GB2312" w:cs="Times New Roman"/>
                <w:color w:val="auto"/>
                <w:sz w:val="28"/>
                <w:szCs w:val="28"/>
                <w:lang w:val="en-US" w:eastAsia="zh-CN"/>
              </w:rPr>
              <w:t>三亚废旧交通工具拆解与利用中心项目的建成营业后，规范了我市废旧机动车回收拆解工作。</w:t>
            </w:r>
          </w:p>
        </w:tc>
      </w:tr>
    </w:tbl>
    <w:p/>
    <w:sectPr>
      <w:footerReference r:id="rId3" w:type="default"/>
      <w:pgSz w:w="11906" w:h="16838"/>
      <w:pgMar w:top="2098" w:right="1474" w:bottom="1701" w:left="1587" w:header="851" w:footer="1587"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A0000287" w:usb1="28C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5264150</wp:posOffset>
              </wp:positionH>
              <wp:positionV relativeFrom="paragraph">
                <wp:posOffset>27940</wp:posOffset>
              </wp:positionV>
              <wp:extent cx="1828800" cy="18732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7325"/>
                      </a:xfrm>
                      <a:prstGeom prst="rect">
                        <a:avLst/>
                      </a:prstGeom>
                      <a:noFill/>
                      <a:ln>
                        <a:noFill/>
                      </a:ln>
                      <a:effectLst/>
                    </wps:spPr>
                    <wps:txbx>
                      <w:txbxContent>
                        <w:p>
                          <w:pPr>
                            <w:pStyle w:val="3"/>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wps:txbx>
                    <wps:bodyPr wrap="none" lIns="0" tIns="0" rIns="0" bIns="0" upright="false"/>
                  </wps:wsp>
                </a:graphicData>
              </a:graphic>
            </wp:anchor>
          </w:drawing>
        </mc:Choice>
        <mc:Fallback>
          <w:pict>
            <v:shape id="_x0000_s1026" o:spid="_x0000_s1026" o:spt="202" type="#_x0000_t202" style="position:absolute;left:0pt;margin-left:414.5pt;margin-top:2.2pt;height:14.75pt;width:144pt;mso-position-horizontal-relative:margin;mso-wrap-style:none;z-index:251658240;mso-width-relative:page;mso-height-relative:page;" filled="f" stroked="f" coordsize="21600,21600" o:gfxdata="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0cvSQ1wAAAAkBAAAPAAAAAAAAAAEAIAAAADgAAABkcnMvZG93bnJl&#10;di54bWxQSwECFAAUAAAACACHTuJAQ40Fma8BAABFAwAADgAAAAAAAAABACAAAAA8AQAAZHJzL2Uy&#10;b0RvYy54bWxQSwUGAAAAAAYABgBZAQAAXQUAAAAA&#10;">
              <v:fill on="f" focussize="0,0"/>
              <v:stroke on="f"/>
              <v:imagedata o:title=""/>
              <o:lock v:ext="edit" aspectratio="f"/>
              <v:textbox inset="0mm,0mm,0mm,0mm">
                <w:txbxContent>
                  <w:p>
                    <w:pPr>
                      <w:pStyle w:val="3"/>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776894"/>
    <w:rsid w:val="734F5F71"/>
    <w:rsid w:val="DF776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adjustRightInd w:val="0"/>
      <w:snapToGrid w:val="0"/>
      <w:spacing w:line="360" w:lineRule="auto"/>
    </w:pPr>
    <w:rPr>
      <w:rFonts w:ascii="仿宋_GB2312" w:hAnsi="宋体" w:eastAsia="仿宋_GB2312"/>
      <w:kern w:val="0"/>
      <w:sz w:val="28"/>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NormalIndent"/>
    <w:qFormat/>
    <w:uiPriority w:val="0"/>
    <w:pPr>
      <w:widowControl w:val="0"/>
      <w:jc w:val="both"/>
      <w:textAlignment w:val="baseline"/>
    </w:pPr>
    <w:rPr>
      <w:rFonts w:ascii="Calibri" w:hAnsi="Calibri" w:eastAsia="仿宋"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2024-11-13T10:48:00Z</dcterms:created>
  <dc:creator>user</dc:creator>
  <cp:lastModifiedBy>user</cp:lastModifiedBy>
  <dcterms:modified xsi:type="dcterms:W3CDTF">2024-11-13T10:48:43Z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